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10" w:rsidRPr="00B91193" w:rsidRDefault="00A56B10" w:rsidP="00A56B10">
      <w:pPr>
        <w:pStyle w:val="DefaultText"/>
        <w:tabs>
          <w:tab w:val="left" w:pos="2160"/>
          <w:tab w:val="left" w:pos="2880"/>
          <w:tab w:val="left" w:pos="4320"/>
          <w:tab w:val="left" w:pos="5760"/>
        </w:tabs>
        <w:ind w:right="54"/>
        <w:jc w:val="center"/>
        <w:outlineLvl w:val="0"/>
        <w:rPr>
          <w:rFonts w:asciiTheme="majorHAnsi" w:hAnsiTheme="majorHAnsi" w:cstheme="majorHAnsi"/>
          <w:b/>
          <w:szCs w:val="24"/>
        </w:rPr>
      </w:pPr>
      <w:bookmarkStart w:id="0" w:name="_GoBack"/>
      <w:bookmarkEnd w:id="0"/>
      <w:r w:rsidRPr="00B91193">
        <w:rPr>
          <w:rFonts w:asciiTheme="majorHAnsi" w:hAnsiTheme="majorHAnsi" w:cstheme="majorHAnsi"/>
          <w:b/>
          <w:szCs w:val="24"/>
        </w:rPr>
        <w:t>RESOLUTION NO.  ________</w:t>
      </w:r>
    </w:p>
    <w:p w:rsidR="00A56B10" w:rsidRPr="00B91193" w:rsidRDefault="00A56B10" w:rsidP="00A56B10">
      <w:pPr>
        <w:pStyle w:val="DefaultText"/>
        <w:tabs>
          <w:tab w:val="left" w:pos="2160"/>
          <w:tab w:val="left" w:pos="2880"/>
          <w:tab w:val="left" w:pos="4320"/>
          <w:tab w:val="left" w:pos="5760"/>
        </w:tabs>
        <w:ind w:right="54"/>
        <w:jc w:val="center"/>
        <w:outlineLvl w:val="0"/>
        <w:rPr>
          <w:rFonts w:asciiTheme="majorHAnsi" w:hAnsiTheme="majorHAnsi" w:cstheme="majorHAnsi"/>
          <w:b/>
          <w:szCs w:val="24"/>
        </w:rPr>
      </w:pPr>
    </w:p>
    <w:p w:rsidR="00B550F9"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szCs w:val="24"/>
        </w:rPr>
      </w:pPr>
      <w:r w:rsidRPr="00B91193">
        <w:rPr>
          <w:rFonts w:asciiTheme="majorHAnsi" w:hAnsiTheme="majorHAnsi" w:cstheme="majorHAnsi"/>
          <w:szCs w:val="24"/>
        </w:rPr>
        <w:t xml:space="preserve">A resolution of </w:t>
      </w:r>
      <w:r w:rsidRPr="00B91193">
        <w:rPr>
          <w:rFonts w:asciiTheme="majorHAnsi" w:hAnsiTheme="majorHAnsi" w:cstheme="majorHAnsi"/>
          <w:b/>
          <w:szCs w:val="24"/>
        </w:rPr>
        <w:t>[Entity]</w:t>
      </w:r>
      <w:r w:rsidRPr="00B91193">
        <w:rPr>
          <w:rFonts w:asciiTheme="majorHAnsi" w:hAnsiTheme="majorHAnsi" w:cstheme="majorHAnsi"/>
          <w:szCs w:val="24"/>
        </w:rPr>
        <w:t xml:space="preserve"> of the </w:t>
      </w:r>
      <w:r w:rsidRPr="00B91193">
        <w:rPr>
          <w:rFonts w:asciiTheme="majorHAnsi" w:hAnsiTheme="majorHAnsi" w:cstheme="majorHAnsi"/>
          <w:b/>
          <w:szCs w:val="24"/>
        </w:rPr>
        <w:t>[Jurisdiction Name]</w:t>
      </w:r>
      <w:r w:rsidRPr="00B91193">
        <w:rPr>
          <w:rFonts w:asciiTheme="majorHAnsi" w:hAnsiTheme="majorHAnsi" w:cstheme="majorHAnsi"/>
          <w:szCs w:val="24"/>
        </w:rPr>
        <w:t xml:space="preserve"> supporting product stewardship systems</w:t>
      </w:r>
    </w:p>
    <w:p w:rsidR="00B550F9"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szCs w:val="24"/>
        </w:rPr>
      </w:pPr>
      <w:r w:rsidRPr="00B91193">
        <w:rPr>
          <w:rFonts w:asciiTheme="majorHAnsi" w:hAnsiTheme="majorHAnsi" w:cstheme="majorHAnsi"/>
          <w:szCs w:val="24"/>
        </w:rPr>
        <w:t xml:space="preserve"> for rechargeable batteries to provide stable financing, increased recycling</w:t>
      </w:r>
      <w:r w:rsidR="007532C3">
        <w:rPr>
          <w:rFonts w:asciiTheme="majorHAnsi" w:hAnsiTheme="majorHAnsi" w:cstheme="majorHAnsi"/>
          <w:szCs w:val="24"/>
        </w:rPr>
        <w:t xml:space="preserve">, </w:t>
      </w:r>
    </w:p>
    <w:p w:rsidR="00A56B10" w:rsidRPr="00B91193"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rPr>
      </w:pPr>
      <w:r w:rsidRPr="00B91193">
        <w:rPr>
          <w:rFonts w:asciiTheme="majorHAnsi" w:hAnsiTheme="majorHAnsi" w:cstheme="majorHAnsi"/>
          <w:szCs w:val="24"/>
        </w:rPr>
        <w:t>recovery</w:t>
      </w:r>
      <w:r w:rsidR="00B550F9">
        <w:rPr>
          <w:rFonts w:asciiTheme="majorHAnsi" w:hAnsiTheme="majorHAnsi" w:cstheme="majorHAnsi"/>
          <w:szCs w:val="24"/>
        </w:rPr>
        <w:t xml:space="preserve"> of resources, and </w:t>
      </w:r>
      <w:r w:rsidRPr="00B91193">
        <w:rPr>
          <w:rFonts w:asciiTheme="majorHAnsi" w:hAnsiTheme="majorHAnsi" w:cstheme="majorHAnsi"/>
          <w:szCs w:val="24"/>
        </w:rPr>
        <w:t>reduced environmental and health impacts.</w:t>
      </w:r>
      <w:r w:rsidRPr="00B91193">
        <w:rPr>
          <w:rFonts w:asciiTheme="majorHAnsi" w:hAnsiTheme="majorHAnsi" w:cstheme="majorHAnsi"/>
        </w:rPr>
        <w:t xml:space="preserve"> </w:t>
      </w:r>
    </w:p>
    <w:p w:rsidR="00A56B10" w:rsidRDefault="00A56B10" w:rsidP="00A56B10">
      <w:pPr>
        <w:pStyle w:val="DefaultText"/>
        <w:tabs>
          <w:tab w:val="left" w:pos="1440"/>
          <w:tab w:val="left" w:pos="2160"/>
          <w:tab w:val="left" w:pos="2880"/>
          <w:tab w:val="left" w:pos="4320"/>
          <w:tab w:val="left" w:pos="5760"/>
        </w:tabs>
        <w:jc w:val="center"/>
        <w:outlineLvl w:val="0"/>
      </w:pPr>
    </w:p>
    <w:p w:rsidR="00A10B67" w:rsidRPr="007F7975" w:rsidRDefault="00A56B10" w:rsidP="00A56B10">
      <w:pPr>
        <w:spacing w:after="200"/>
        <w:rPr>
          <w:rFonts w:ascii="Calibri" w:hAnsi="Calibri" w:cs="Calibri"/>
          <w:b/>
          <w:sz w:val="22"/>
          <w:szCs w:val="22"/>
        </w:rPr>
      </w:pPr>
      <w:r w:rsidRPr="007F7975">
        <w:rPr>
          <w:rFonts w:ascii="Calibri" w:hAnsi="Calibri" w:cs="Calibri"/>
          <w:b/>
          <w:sz w:val="22"/>
          <w:szCs w:val="22"/>
        </w:rPr>
        <w:t>WHEREAS</w:t>
      </w:r>
      <w:r w:rsidRPr="007F7975">
        <w:rPr>
          <w:rFonts w:ascii="Calibri" w:hAnsi="Calibri" w:cs="Calibri"/>
          <w:sz w:val="22"/>
          <w:szCs w:val="22"/>
        </w:rPr>
        <w:t xml:space="preserve">  the recycling and disposal of solid and hazardous wastes and the conservation of resources are two of the most challenging and costly issues currently facing local governments; and </w:t>
      </w:r>
    </w:p>
    <w:p w:rsidR="00315B40"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the use of r</w:t>
      </w:r>
      <w:r w:rsidR="008615F4" w:rsidRPr="007F7975">
        <w:rPr>
          <w:rFonts w:ascii="Calibri" w:hAnsi="Calibri" w:cs="Calibri"/>
          <w:sz w:val="22"/>
          <w:szCs w:val="22"/>
        </w:rPr>
        <w:t xml:space="preserve">echargeable batteries </w:t>
      </w:r>
      <w:r w:rsidRPr="007F7975">
        <w:rPr>
          <w:rFonts w:ascii="Calibri" w:hAnsi="Calibri" w:cs="Calibri"/>
          <w:sz w:val="22"/>
          <w:szCs w:val="22"/>
        </w:rPr>
        <w:t>is</w:t>
      </w:r>
      <w:r w:rsidR="008615F4" w:rsidRPr="007F7975">
        <w:rPr>
          <w:rFonts w:ascii="Calibri" w:hAnsi="Calibri" w:cs="Calibri"/>
          <w:sz w:val="22"/>
          <w:szCs w:val="22"/>
        </w:rPr>
        <w:t xml:space="preserve"> </w:t>
      </w:r>
      <w:r w:rsidRPr="007F7975">
        <w:rPr>
          <w:rFonts w:ascii="Calibri" w:hAnsi="Calibri" w:cs="Calibri"/>
          <w:sz w:val="22"/>
          <w:szCs w:val="22"/>
        </w:rPr>
        <w:t>increasing with m</w:t>
      </w:r>
      <w:r w:rsidR="00A10B67" w:rsidRPr="007F7975">
        <w:rPr>
          <w:rFonts w:ascii="Calibri" w:hAnsi="Calibri" w:cs="Calibri"/>
          <w:sz w:val="22"/>
          <w:szCs w:val="22"/>
        </w:rPr>
        <w:t>ore than 350 million rechargeable batteries purchased annually in t</w:t>
      </w:r>
      <w:r w:rsidR="002D74BC" w:rsidRPr="007F7975">
        <w:rPr>
          <w:rFonts w:ascii="Calibri" w:hAnsi="Calibri" w:cs="Calibri"/>
          <w:sz w:val="22"/>
          <w:szCs w:val="22"/>
        </w:rPr>
        <w:t>he United States</w:t>
      </w:r>
      <w:r w:rsidR="00AA779E">
        <w:rPr>
          <w:rFonts w:ascii="Calibri" w:hAnsi="Calibri" w:cs="Calibri"/>
          <w:sz w:val="22"/>
          <w:szCs w:val="22"/>
        </w:rPr>
        <w:t>,</w:t>
      </w:r>
      <w:r w:rsidR="00A10B67" w:rsidRPr="007F7975">
        <w:rPr>
          <w:rFonts w:ascii="Calibri" w:hAnsi="Calibri" w:cs="Calibri"/>
          <w:sz w:val="22"/>
          <w:szCs w:val="22"/>
        </w:rPr>
        <w:t xml:space="preserve"> and o</w:t>
      </w:r>
      <w:r w:rsidR="00B164D3" w:rsidRPr="007F7975">
        <w:rPr>
          <w:rFonts w:ascii="Calibri" w:hAnsi="Calibri" w:cs="Calibri"/>
          <w:sz w:val="22"/>
          <w:szCs w:val="22"/>
        </w:rPr>
        <w:t xml:space="preserve">ver the past decade </w:t>
      </w:r>
      <w:r w:rsidR="008615F4" w:rsidRPr="007F7975">
        <w:rPr>
          <w:rFonts w:ascii="Calibri" w:hAnsi="Calibri" w:cs="Calibri"/>
          <w:sz w:val="22"/>
          <w:szCs w:val="22"/>
        </w:rPr>
        <w:t xml:space="preserve">the market share of </w:t>
      </w:r>
      <w:r w:rsidR="00B164D3" w:rsidRPr="007F7975">
        <w:rPr>
          <w:rFonts w:ascii="Calibri" w:hAnsi="Calibri" w:cs="Calibri"/>
          <w:sz w:val="22"/>
          <w:szCs w:val="22"/>
        </w:rPr>
        <w:t xml:space="preserve">rechargeable </w:t>
      </w:r>
      <w:r w:rsidR="008615F4" w:rsidRPr="007F7975">
        <w:rPr>
          <w:rFonts w:ascii="Calibri" w:hAnsi="Calibri" w:cs="Calibri"/>
          <w:sz w:val="22"/>
          <w:szCs w:val="22"/>
        </w:rPr>
        <w:t>batteries</w:t>
      </w:r>
      <w:r w:rsidR="00B164D3" w:rsidRPr="007F7975">
        <w:rPr>
          <w:rFonts w:ascii="Calibri" w:hAnsi="Calibri" w:cs="Calibri"/>
          <w:sz w:val="22"/>
          <w:szCs w:val="22"/>
        </w:rPr>
        <w:t xml:space="preserve"> ha</w:t>
      </w:r>
      <w:r w:rsidR="008615F4" w:rsidRPr="007F7975">
        <w:rPr>
          <w:rFonts w:ascii="Calibri" w:hAnsi="Calibri" w:cs="Calibri"/>
          <w:sz w:val="22"/>
          <w:szCs w:val="22"/>
        </w:rPr>
        <w:t>s</w:t>
      </w:r>
      <w:r w:rsidR="00B164D3" w:rsidRPr="007F7975">
        <w:rPr>
          <w:rFonts w:ascii="Calibri" w:hAnsi="Calibri" w:cs="Calibri"/>
          <w:sz w:val="22"/>
          <w:szCs w:val="22"/>
        </w:rPr>
        <w:t xml:space="preserve"> </w:t>
      </w:r>
      <w:r w:rsidR="008615F4" w:rsidRPr="007F7975">
        <w:rPr>
          <w:rFonts w:ascii="Calibri" w:hAnsi="Calibri" w:cs="Calibri"/>
          <w:sz w:val="22"/>
          <w:szCs w:val="22"/>
        </w:rPr>
        <w:t>increased</w:t>
      </w:r>
      <w:r w:rsidR="00B164D3" w:rsidRPr="007F7975">
        <w:rPr>
          <w:rFonts w:ascii="Calibri" w:hAnsi="Calibri" w:cs="Calibri"/>
          <w:sz w:val="22"/>
          <w:szCs w:val="22"/>
        </w:rPr>
        <w:t xml:space="preserve"> from single digit percentages</w:t>
      </w:r>
      <w:r w:rsidR="008615F4" w:rsidRPr="007F7975">
        <w:rPr>
          <w:rFonts w:ascii="Calibri" w:hAnsi="Calibri" w:cs="Calibri"/>
          <w:sz w:val="22"/>
          <w:szCs w:val="22"/>
        </w:rPr>
        <w:t xml:space="preserve"> </w:t>
      </w:r>
      <w:r w:rsidR="00B164D3" w:rsidRPr="007F7975">
        <w:rPr>
          <w:rFonts w:ascii="Calibri" w:hAnsi="Calibri" w:cs="Calibri"/>
          <w:sz w:val="22"/>
          <w:szCs w:val="22"/>
        </w:rPr>
        <w:t xml:space="preserve">to the current </w:t>
      </w:r>
      <w:r w:rsidR="00AA6261" w:rsidRPr="007F7975">
        <w:rPr>
          <w:rFonts w:ascii="Calibri" w:hAnsi="Calibri" w:cs="Calibri"/>
          <w:sz w:val="22"/>
          <w:szCs w:val="22"/>
        </w:rPr>
        <w:t xml:space="preserve">share </w:t>
      </w:r>
      <w:r w:rsidR="00B164D3" w:rsidRPr="007F7975">
        <w:rPr>
          <w:rFonts w:ascii="Calibri" w:hAnsi="Calibri" w:cs="Calibri"/>
          <w:sz w:val="22"/>
          <w:szCs w:val="22"/>
        </w:rPr>
        <w:t>of 20%.</w:t>
      </w:r>
      <w:r w:rsidR="00470AEE" w:rsidRPr="007F7975">
        <w:rPr>
          <w:rStyle w:val="EndnoteReference"/>
          <w:rFonts w:ascii="Calibri" w:hAnsi="Calibri" w:cs="Calibri"/>
          <w:sz w:val="22"/>
          <w:szCs w:val="22"/>
        </w:rPr>
        <w:endnoteReference w:id="1"/>
      </w:r>
    </w:p>
    <w:p w:rsidR="00A56B10" w:rsidRPr="007F7975" w:rsidRDefault="00A56B10" w:rsidP="00A56B10">
      <w:pPr>
        <w:rPr>
          <w:rFonts w:ascii="Calibri" w:hAnsi="Calibri" w:cs="Calibri"/>
          <w:sz w:val="22"/>
          <w:szCs w:val="22"/>
        </w:rPr>
      </w:pPr>
    </w:p>
    <w:p w:rsidR="00F67EF6" w:rsidRPr="007F7975" w:rsidRDefault="00A56B10" w:rsidP="00A56B10">
      <w:pPr>
        <w:rPr>
          <w:rFonts w:ascii="Calibri" w:hAnsi="Calibri" w:cs="Calibri"/>
          <w:spacing w:val="-4"/>
          <w:sz w:val="22"/>
          <w:szCs w:val="22"/>
        </w:rPr>
      </w:pPr>
      <w:r w:rsidRPr="007F7975">
        <w:rPr>
          <w:rFonts w:ascii="Calibri" w:hAnsi="Calibri" w:cs="Calibri"/>
          <w:b/>
          <w:sz w:val="22"/>
          <w:szCs w:val="22"/>
        </w:rPr>
        <w:t>WHEREAS</w:t>
      </w:r>
      <w:r w:rsidRPr="007F7975">
        <w:rPr>
          <w:rFonts w:ascii="Calibri" w:hAnsi="Calibri" w:cs="Calibri"/>
          <w:sz w:val="22"/>
          <w:szCs w:val="22"/>
        </w:rPr>
        <w:t xml:space="preserve"> </w:t>
      </w:r>
      <w:r w:rsidR="00C430C4">
        <w:rPr>
          <w:rFonts w:ascii="Calibri" w:hAnsi="Calibri" w:cs="Calibri"/>
          <w:sz w:val="22"/>
          <w:szCs w:val="22"/>
        </w:rPr>
        <w:t xml:space="preserve">certain </w:t>
      </w:r>
      <w:r w:rsidRPr="007F7975">
        <w:rPr>
          <w:rFonts w:ascii="Calibri" w:hAnsi="Calibri" w:cs="Calibri"/>
          <w:sz w:val="22"/>
          <w:szCs w:val="22"/>
        </w:rPr>
        <w:t>r</w:t>
      </w:r>
      <w:r w:rsidR="00315B40" w:rsidRPr="007F7975">
        <w:rPr>
          <w:rFonts w:ascii="Calibri" w:hAnsi="Calibri" w:cs="Calibri"/>
          <w:sz w:val="22"/>
          <w:szCs w:val="22"/>
        </w:rPr>
        <w:t xml:space="preserve">echargeable batteries </w:t>
      </w:r>
      <w:r w:rsidR="00C430C4">
        <w:rPr>
          <w:rFonts w:ascii="Calibri" w:hAnsi="Calibri" w:cs="Calibri"/>
          <w:sz w:val="22"/>
          <w:szCs w:val="22"/>
        </w:rPr>
        <w:t>contain</w:t>
      </w:r>
      <w:r w:rsidR="00315B40" w:rsidRPr="007F7975">
        <w:rPr>
          <w:rFonts w:ascii="Calibri" w:hAnsi="Calibri" w:cs="Calibri"/>
          <w:sz w:val="22"/>
          <w:szCs w:val="22"/>
        </w:rPr>
        <w:t xml:space="preserve"> toxic heavy metals </w:t>
      </w:r>
      <w:r w:rsidR="00C430C4">
        <w:rPr>
          <w:rFonts w:ascii="Calibri" w:hAnsi="Calibri" w:cs="Calibri"/>
          <w:sz w:val="22"/>
          <w:szCs w:val="22"/>
        </w:rPr>
        <w:t>such as cadmium and lead that can cause harm to</w:t>
      </w:r>
      <w:r w:rsidR="00315B40" w:rsidRPr="007F7975">
        <w:rPr>
          <w:rFonts w:ascii="Calibri" w:hAnsi="Calibri" w:cs="Calibri"/>
          <w:sz w:val="22"/>
          <w:szCs w:val="22"/>
        </w:rPr>
        <w:t xml:space="preserve"> </w:t>
      </w:r>
      <w:r w:rsidR="00C430C4">
        <w:rPr>
          <w:rFonts w:ascii="Calibri" w:hAnsi="Calibri" w:cs="Calibri"/>
          <w:sz w:val="22"/>
          <w:szCs w:val="22"/>
        </w:rPr>
        <w:t>t</w:t>
      </w:r>
      <w:r w:rsidR="00C430C4" w:rsidRPr="007F7975">
        <w:rPr>
          <w:rFonts w:ascii="Calibri" w:hAnsi="Calibri" w:cs="Calibri"/>
          <w:sz w:val="22"/>
          <w:szCs w:val="22"/>
        </w:rPr>
        <w:t>he environment</w:t>
      </w:r>
      <w:r w:rsidR="00C430C4">
        <w:rPr>
          <w:rFonts w:ascii="Calibri" w:hAnsi="Calibri" w:cs="Calibri"/>
          <w:sz w:val="22"/>
          <w:szCs w:val="22"/>
        </w:rPr>
        <w:t xml:space="preserve"> and human health</w:t>
      </w:r>
      <w:r w:rsidR="00C430C4" w:rsidRPr="007F7975">
        <w:rPr>
          <w:rFonts w:ascii="Calibri" w:hAnsi="Calibri" w:cs="Calibri"/>
          <w:sz w:val="22"/>
          <w:szCs w:val="22"/>
        </w:rPr>
        <w:t xml:space="preserve"> </w:t>
      </w:r>
      <w:r w:rsidR="00315B40" w:rsidRPr="007F7975">
        <w:rPr>
          <w:rFonts w:ascii="Calibri" w:hAnsi="Calibri" w:cs="Calibri"/>
          <w:sz w:val="22"/>
          <w:szCs w:val="22"/>
        </w:rPr>
        <w:t xml:space="preserve">when improperly </w:t>
      </w:r>
      <w:r w:rsidR="003E02F5" w:rsidRPr="007F7975">
        <w:rPr>
          <w:rFonts w:ascii="Calibri" w:hAnsi="Calibri" w:cs="Calibri"/>
          <w:sz w:val="22"/>
          <w:szCs w:val="22"/>
        </w:rPr>
        <w:t>managed</w:t>
      </w:r>
      <w:r w:rsidR="00C430C4">
        <w:rPr>
          <w:rFonts w:ascii="Calibri" w:hAnsi="Calibri" w:cs="Calibri"/>
          <w:sz w:val="22"/>
          <w:szCs w:val="22"/>
        </w:rPr>
        <w:t>,</w:t>
      </w:r>
      <w:r w:rsidR="002D74BC" w:rsidRPr="007F7975">
        <w:rPr>
          <w:rFonts w:ascii="Calibri" w:hAnsi="Calibri" w:cs="Calibri"/>
          <w:sz w:val="22"/>
          <w:szCs w:val="22"/>
        </w:rPr>
        <w:t xml:space="preserve"> and the p</w:t>
      </w:r>
      <w:r w:rsidR="00A10B67" w:rsidRPr="007F7975">
        <w:rPr>
          <w:rFonts w:ascii="Calibri" w:hAnsi="Calibri" w:cs="Calibri"/>
          <w:sz w:val="22"/>
          <w:szCs w:val="22"/>
        </w:rPr>
        <w:t xml:space="preserve">otential health effects of exposure to </w:t>
      </w:r>
      <w:r w:rsidR="00D624D6" w:rsidRPr="007F7975">
        <w:rPr>
          <w:rFonts w:ascii="Calibri" w:hAnsi="Calibri" w:cs="Calibri"/>
          <w:spacing w:val="-4"/>
          <w:sz w:val="22"/>
          <w:szCs w:val="22"/>
        </w:rPr>
        <w:t>cadmium</w:t>
      </w:r>
      <w:r w:rsidR="00FD704D" w:rsidRPr="007F7975">
        <w:rPr>
          <w:rStyle w:val="EndnoteReference"/>
          <w:rFonts w:ascii="Calibri" w:hAnsi="Calibri" w:cs="Calibri"/>
          <w:sz w:val="22"/>
          <w:szCs w:val="22"/>
        </w:rPr>
        <w:endnoteReference w:id="2"/>
      </w:r>
      <w:r w:rsidR="00D624D6" w:rsidRPr="007F7975">
        <w:rPr>
          <w:rFonts w:ascii="Calibri" w:hAnsi="Calibri" w:cs="Calibri"/>
          <w:spacing w:val="-4"/>
          <w:sz w:val="22"/>
          <w:szCs w:val="22"/>
        </w:rPr>
        <w:t xml:space="preserve"> </w:t>
      </w:r>
      <w:r w:rsidR="004167F5" w:rsidRPr="007F7975">
        <w:rPr>
          <w:rFonts w:ascii="Calibri" w:hAnsi="Calibri" w:cs="Calibri"/>
          <w:spacing w:val="-4"/>
          <w:sz w:val="22"/>
          <w:szCs w:val="22"/>
        </w:rPr>
        <w:t xml:space="preserve">and </w:t>
      </w:r>
      <w:r w:rsidR="00D624D6" w:rsidRPr="007F7975">
        <w:rPr>
          <w:rFonts w:ascii="Calibri" w:hAnsi="Calibri" w:cs="Calibri"/>
          <w:spacing w:val="-4"/>
          <w:sz w:val="22"/>
          <w:szCs w:val="22"/>
        </w:rPr>
        <w:t xml:space="preserve">lead </w:t>
      </w:r>
      <w:r w:rsidR="00A10B67" w:rsidRPr="007F7975">
        <w:rPr>
          <w:rFonts w:ascii="Calibri" w:hAnsi="Calibri" w:cs="Calibri"/>
          <w:spacing w:val="-4"/>
          <w:sz w:val="22"/>
          <w:szCs w:val="22"/>
        </w:rPr>
        <w:t>include</w:t>
      </w:r>
      <w:r w:rsidR="00D624D6" w:rsidRPr="007F7975">
        <w:rPr>
          <w:rFonts w:ascii="Calibri" w:hAnsi="Calibri" w:cs="Calibri"/>
          <w:spacing w:val="-4"/>
          <w:sz w:val="22"/>
          <w:szCs w:val="22"/>
        </w:rPr>
        <w:t xml:space="preserve"> cancer</w:t>
      </w:r>
      <w:r w:rsidR="00A10B67" w:rsidRPr="007F7975">
        <w:rPr>
          <w:rFonts w:ascii="Calibri" w:hAnsi="Calibri" w:cs="Calibri"/>
          <w:spacing w:val="-4"/>
          <w:sz w:val="22"/>
          <w:szCs w:val="22"/>
        </w:rPr>
        <w:t xml:space="preserve"> and</w:t>
      </w:r>
      <w:r w:rsidR="00D624D6" w:rsidRPr="007F7975">
        <w:rPr>
          <w:rFonts w:ascii="Calibri" w:hAnsi="Calibri" w:cs="Calibri"/>
          <w:spacing w:val="-4"/>
          <w:sz w:val="22"/>
          <w:szCs w:val="22"/>
        </w:rPr>
        <w:t xml:space="preserve"> irreparable reproductive disorders as well as kidney, liver and neurological dysfunctions.</w:t>
      </w:r>
      <w:r w:rsidR="007934F6" w:rsidRPr="007F7975">
        <w:rPr>
          <w:rStyle w:val="EndnoteReference"/>
          <w:rFonts w:ascii="Calibri" w:hAnsi="Calibri" w:cs="Calibri"/>
          <w:spacing w:val="-4"/>
          <w:sz w:val="22"/>
          <w:szCs w:val="22"/>
        </w:rPr>
        <w:endnoteReference w:id="3"/>
      </w:r>
      <w:r w:rsidR="00D624D6" w:rsidRPr="007F7975">
        <w:rPr>
          <w:rFonts w:ascii="Calibri" w:hAnsi="Calibri" w:cs="Calibri"/>
          <w:spacing w:val="-4"/>
          <w:sz w:val="22"/>
          <w:szCs w:val="22"/>
        </w:rPr>
        <w:t xml:space="preserve"> </w:t>
      </w:r>
    </w:p>
    <w:p w:rsidR="00A56B10" w:rsidRPr="007F7975" w:rsidRDefault="00A56B10" w:rsidP="00A56B10">
      <w:pPr>
        <w:rPr>
          <w:rFonts w:ascii="Calibri" w:hAnsi="Calibri" w:cs="Calibri"/>
          <w:spacing w:val="-4"/>
          <w:sz w:val="22"/>
          <w:szCs w:val="22"/>
        </w:rPr>
      </w:pPr>
    </w:p>
    <w:p w:rsidR="008543C8"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a</w:t>
      </w:r>
      <w:r w:rsidR="00F67EF6" w:rsidRPr="007F7975">
        <w:rPr>
          <w:rFonts w:ascii="Calibri" w:hAnsi="Calibri" w:cs="Calibri"/>
          <w:sz w:val="22"/>
          <w:szCs w:val="22"/>
        </w:rPr>
        <w:t>pproximately 400,000 pounds of rechargeable batteries were discarded in Washington State landfills in 2009</w:t>
      </w:r>
      <w:r w:rsidR="00F67EF6" w:rsidRPr="007F7975">
        <w:rPr>
          <w:rStyle w:val="EndnoteReference"/>
          <w:rFonts w:ascii="Calibri" w:hAnsi="Calibri" w:cs="Calibri"/>
          <w:sz w:val="22"/>
          <w:szCs w:val="22"/>
        </w:rPr>
        <w:endnoteReference w:id="4"/>
      </w:r>
      <w:r w:rsidR="00F67EF6" w:rsidRPr="007F7975">
        <w:rPr>
          <w:rFonts w:ascii="Calibri" w:hAnsi="Calibri" w:cs="Calibri"/>
          <w:sz w:val="22"/>
          <w:szCs w:val="22"/>
        </w:rPr>
        <w:t xml:space="preserve"> </w:t>
      </w:r>
      <w:r w:rsidRPr="007F7975">
        <w:rPr>
          <w:rFonts w:ascii="Calibri" w:hAnsi="Calibri" w:cs="Calibri"/>
          <w:sz w:val="22"/>
          <w:szCs w:val="22"/>
        </w:rPr>
        <w:t>and t</w:t>
      </w:r>
      <w:r w:rsidR="006B5037" w:rsidRPr="007F7975">
        <w:rPr>
          <w:rFonts w:ascii="Calibri" w:hAnsi="Calibri" w:cs="Calibri"/>
          <w:sz w:val="22"/>
          <w:szCs w:val="22"/>
        </w:rPr>
        <w:t>he metals from d</w:t>
      </w:r>
      <w:r w:rsidR="003E02F5" w:rsidRPr="007F7975">
        <w:rPr>
          <w:rFonts w:ascii="Calibri" w:hAnsi="Calibri" w:cs="Calibri"/>
          <w:sz w:val="22"/>
          <w:szCs w:val="22"/>
        </w:rPr>
        <w:t xml:space="preserve">iscarded rechargeable batteries </w:t>
      </w:r>
      <w:r w:rsidRPr="007F7975">
        <w:rPr>
          <w:rFonts w:ascii="Calibri" w:hAnsi="Calibri" w:cs="Calibri"/>
          <w:sz w:val="22"/>
          <w:szCs w:val="22"/>
        </w:rPr>
        <w:t xml:space="preserve">can </w:t>
      </w:r>
      <w:r w:rsidR="003E02F5" w:rsidRPr="007F7975">
        <w:rPr>
          <w:rFonts w:ascii="Calibri" w:hAnsi="Calibri" w:cs="Calibri"/>
          <w:sz w:val="22"/>
          <w:szCs w:val="22"/>
        </w:rPr>
        <w:t>contribute to the toxicity levels of landfills and incinerator ash.</w:t>
      </w:r>
      <w:r w:rsidR="006B5037" w:rsidRPr="007F7975">
        <w:rPr>
          <w:rStyle w:val="EndnoteReference"/>
          <w:rFonts w:ascii="Calibri" w:hAnsi="Calibri" w:cs="Calibri"/>
          <w:sz w:val="22"/>
          <w:szCs w:val="22"/>
        </w:rPr>
        <w:endnoteReference w:id="5"/>
      </w:r>
      <w:r w:rsidR="0068166F" w:rsidRPr="007F7975">
        <w:rPr>
          <w:rFonts w:ascii="Calibri" w:hAnsi="Calibri" w:cs="Calibri"/>
          <w:sz w:val="22"/>
          <w:szCs w:val="22"/>
        </w:rPr>
        <w:t xml:space="preserve"> </w:t>
      </w:r>
    </w:p>
    <w:p w:rsidR="00A56B10" w:rsidRPr="007F7975" w:rsidRDefault="00A56B10" w:rsidP="00A56B10">
      <w:pPr>
        <w:rPr>
          <w:rFonts w:ascii="Calibri" w:hAnsi="Calibri" w:cs="Calibri"/>
          <w:sz w:val="22"/>
          <w:szCs w:val="22"/>
        </w:rPr>
      </w:pPr>
    </w:p>
    <w:p w:rsidR="008543C8"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o</w:t>
      </w:r>
      <w:r w:rsidR="008543C8" w:rsidRPr="007F7975">
        <w:rPr>
          <w:rFonts w:ascii="Calibri" w:hAnsi="Calibri" w:cs="Calibri"/>
          <w:sz w:val="22"/>
          <w:szCs w:val="22"/>
        </w:rPr>
        <w:t>nly 10‐12 percent of consumer rechargeable batteries are recycled.</w:t>
      </w:r>
      <w:r w:rsidR="008543C8" w:rsidRPr="007F7975">
        <w:rPr>
          <w:rStyle w:val="EndnoteReference"/>
          <w:rFonts w:ascii="Calibri" w:hAnsi="Calibri" w:cs="Calibri"/>
          <w:sz w:val="22"/>
          <w:szCs w:val="22"/>
        </w:rPr>
        <w:endnoteReference w:id="6"/>
      </w:r>
    </w:p>
    <w:p w:rsidR="00315B40" w:rsidRPr="007F7975" w:rsidRDefault="00315B40" w:rsidP="00A10B67">
      <w:pPr>
        <w:rPr>
          <w:rFonts w:ascii="Calibri" w:hAnsi="Calibri" w:cs="Calibri"/>
          <w:sz w:val="22"/>
          <w:szCs w:val="22"/>
        </w:rPr>
      </w:pPr>
    </w:p>
    <w:p w:rsidR="00774ED1"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w:t>
      </w:r>
      <w:r w:rsidR="00774ED1" w:rsidRPr="007F7975">
        <w:rPr>
          <w:rFonts w:ascii="Calibri" w:hAnsi="Calibri" w:cs="Calibri"/>
          <w:sz w:val="22"/>
          <w:szCs w:val="22"/>
        </w:rPr>
        <w:t>ecycling rechargeable batteries has numerous benefits, including net reductions in materials consumption and pollutant emissions, and reduced impacts on human health and the environment.</w:t>
      </w:r>
      <w:r w:rsidR="00774ED1" w:rsidRPr="007F7975">
        <w:rPr>
          <w:rStyle w:val="EndnoteReference"/>
          <w:rFonts w:ascii="Calibri" w:hAnsi="Calibri" w:cs="Calibri"/>
          <w:sz w:val="22"/>
          <w:szCs w:val="22"/>
        </w:rPr>
        <w:endnoteReference w:id="7"/>
      </w:r>
      <w:r w:rsidR="00774ED1" w:rsidRPr="007F7975">
        <w:rPr>
          <w:rFonts w:ascii="Calibri" w:hAnsi="Calibri" w:cs="Calibri"/>
          <w:sz w:val="22"/>
          <w:szCs w:val="22"/>
        </w:rPr>
        <w:t xml:space="preserve"> </w:t>
      </w:r>
    </w:p>
    <w:p w:rsidR="00A56B10" w:rsidRPr="007F7975" w:rsidRDefault="00A56B10" w:rsidP="00A56B10">
      <w:pPr>
        <w:rPr>
          <w:rFonts w:ascii="Calibri" w:hAnsi="Calibri" w:cs="Calibri"/>
          <w:sz w:val="22"/>
          <w:szCs w:val="22"/>
        </w:rPr>
      </w:pPr>
    </w:p>
    <w:p w:rsidR="002A469A" w:rsidRPr="007F7975" w:rsidRDefault="00A56B10" w:rsidP="002A469A">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recycling r</w:t>
      </w:r>
      <w:r w:rsidR="006B5037" w:rsidRPr="007F7975">
        <w:rPr>
          <w:rFonts w:ascii="Calibri" w:hAnsi="Calibri" w:cs="Calibri"/>
          <w:sz w:val="22"/>
          <w:szCs w:val="22"/>
        </w:rPr>
        <w:t xml:space="preserve">echargeable batteries </w:t>
      </w:r>
      <w:r w:rsidRPr="007F7975">
        <w:rPr>
          <w:rFonts w:ascii="Calibri" w:hAnsi="Calibri" w:cs="Calibri"/>
          <w:sz w:val="22"/>
          <w:szCs w:val="22"/>
        </w:rPr>
        <w:t xml:space="preserve">provides </w:t>
      </w:r>
      <w:r w:rsidR="006B5037" w:rsidRPr="007F7975">
        <w:rPr>
          <w:rFonts w:ascii="Calibri" w:hAnsi="Calibri" w:cs="Calibri"/>
          <w:sz w:val="22"/>
          <w:szCs w:val="22"/>
        </w:rPr>
        <w:t>a source of secondary raw materials</w:t>
      </w:r>
      <w:r w:rsidRPr="007F7975">
        <w:rPr>
          <w:rFonts w:ascii="Calibri" w:hAnsi="Calibri" w:cs="Calibri"/>
          <w:sz w:val="22"/>
          <w:szCs w:val="22"/>
        </w:rPr>
        <w:t xml:space="preserve"> including t</w:t>
      </w:r>
      <w:r w:rsidR="006B5037" w:rsidRPr="007F7975">
        <w:rPr>
          <w:rFonts w:ascii="Calibri" w:hAnsi="Calibri" w:cs="Calibri"/>
          <w:sz w:val="22"/>
          <w:szCs w:val="22"/>
        </w:rPr>
        <w:t>housands of tons of metals su</w:t>
      </w:r>
      <w:r w:rsidRPr="007F7975">
        <w:rPr>
          <w:rFonts w:ascii="Calibri" w:hAnsi="Calibri" w:cs="Calibri"/>
          <w:sz w:val="22"/>
          <w:szCs w:val="22"/>
        </w:rPr>
        <w:t>c</w:t>
      </w:r>
      <w:r w:rsidR="002A469A" w:rsidRPr="007F7975">
        <w:rPr>
          <w:rFonts w:ascii="Calibri" w:hAnsi="Calibri" w:cs="Calibri"/>
          <w:sz w:val="22"/>
          <w:szCs w:val="22"/>
        </w:rPr>
        <w:t xml:space="preserve">h as nickel, cobalt and </w:t>
      </w:r>
      <w:r w:rsidR="00A54AF7">
        <w:rPr>
          <w:rFonts w:ascii="Calibri" w:hAnsi="Calibri" w:cs="Calibri"/>
          <w:sz w:val="22"/>
          <w:szCs w:val="22"/>
        </w:rPr>
        <w:t>iron</w:t>
      </w:r>
      <w:r w:rsidR="006B5037" w:rsidRPr="007F7975">
        <w:rPr>
          <w:rStyle w:val="EndnoteReference"/>
          <w:rFonts w:ascii="Calibri" w:hAnsi="Calibri" w:cs="Calibri"/>
          <w:sz w:val="22"/>
          <w:szCs w:val="22"/>
        </w:rPr>
        <w:endnoteReference w:id="8"/>
      </w:r>
      <w:r w:rsidR="002A469A" w:rsidRPr="007F7975">
        <w:rPr>
          <w:rFonts w:ascii="Calibri" w:hAnsi="Calibri" w:cs="Calibri"/>
          <w:sz w:val="22"/>
          <w:szCs w:val="22"/>
        </w:rPr>
        <w:t xml:space="preserve"> that can be used to create new batteries and stainless steel products.</w:t>
      </w:r>
      <w:r w:rsidR="002A469A" w:rsidRPr="007F7975">
        <w:rPr>
          <w:rStyle w:val="EndnoteReference"/>
          <w:rFonts w:ascii="Calibri" w:hAnsi="Calibri" w:cs="Calibri"/>
          <w:sz w:val="22"/>
          <w:szCs w:val="22"/>
        </w:rPr>
        <w:endnoteReference w:id="9"/>
      </w:r>
    </w:p>
    <w:p w:rsidR="00A56B10" w:rsidRPr="007F7975" w:rsidRDefault="00A56B10" w:rsidP="00A56B10">
      <w:pPr>
        <w:rPr>
          <w:rFonts w:ascii="Calibri" w:hAnsi="Calibri" w:cs="Calibri"/>
          <w:sz w:val="22"/>
          <w:szCs w:val="22"/>
        </w:rPr>
      </w:pPr>
    </w:p>
    <w:p w:rsidR="006B5037"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w:t>
      </w:r>
      <w:r w:rsidR="006B5037" w:rsidRPr="007F7975">
        <w:rPr>
          <w:rFonts w:ascii="Calibri" w:hAnsi="Calibri" w:cs="Calibri"/>
          <w:sz w:val="22"/>
          <w:szCs w:val="22"/>
        </w:rPr>
        <w:t>ecycling rechargeable batteries such as Lithium-ion can result in natural resource savings of more than 50 percent.</w:t>
      </w:r>
      <w:r w:rsidR="006B5037" w:rsidRPr="007F7975">
        <w:rPr>
          <w:rStyle w:val="EndnoteReference"/>
          <w:rFonts w:ascii="Calibri" w:hAnsi="Calibri" w:cs="Calibri"/>
          <w:sz w:val="22"/>
          <w:szCs w:val="22"/>
        </w:rPr>
        <w:endnoteReference w:id="10"/>
      </w:r>
    </w:p>
    <w:p w:rsidR="008615F4" w:rsidRPr="007F7975" w:rsidRDefault="008615F4" w:rsidP="008543C8">
      <w:pPr>
        <w:rPr>
          <w:rFonts w:ascii="Calibri" w:hAnsi="Calibri" w:cs="Calibri"/>
          <w:color w:val="000000"/>
          <w:sz w:val="22"/>
          <w:szCs w:val="22"/>
        </w:rPr>
      </w:pPr>
    </w:p>
    <w:p w:rsidR="002A469A" w:rsidRPr="007F7975" w:rsidRDefault="002A469A" w:rsidP="002A469A">
      <w:pPr>
        <w:rPr>
          <w:rFonts w:ascii="Calibri" w:hAnsi="Calibri" w:cs="Calibri"/>
          <w:sz w:val="22"/>
          <w:szCs w:val="22"/>
        </w:rPr>
      </w:pPr>
      <w:r w:rsidRPr="007F7975">
        <w:rPr>
          <w:rFonts w:ascii="Calibri" w:hAnsi="Calibri" w:cs="Calibri"/>
          <w:b/>
          <w:sz w:val="22"/>
          <w:szCs w:val="22"/>
        </w:rPr>
        <w:t xml:space="preserve">WHEREAS </w:t>
      </w:r>
      <w:r w:rsidR="002D74BC" w:rsidRPr="007F7975">
        <w:rPr>
          <w:rFonts w:ascii="Calibri" w:hAnsi="Calibri" w:cs="Calibri"/>
          <w:b/>
          <w:sz w:val="22"/>
          <w:szCs w:val="22"/>
        </w:rPr>
        <w:t>p</w:t>
      </w:r>
      <w:r w:rsidRPr="007F7975">
        <w:rPr>
          <w:rFonts w:ascii="Calibri" w:hAnsi="Calibri" w:cs="Calibri"/>
          <w:sz w:val="22"/>
          <w:szCs w:val="22"/>
        </w:rPr>
        <w:t xml:space="preserve">roduct </w:t>
      </w:r>
      <w:r w:rsidR="002D74BC" w:rsidRPr="007F7975">
        <w:rPr>
          <w:rFonts w:ascii="Calibri" w:hAnsi="Calibri" w:cs="Calibri"/>
          <w:sz w:val="22"/>
          <w:szCs w:val="22"/>
        </w:rPr>
        <w:t>s</w:t>
      </w:r>
      <w:r w:rsidRPr="007F7975">
        <w:rPr>
          <w:rFonts w:ascii="Calibri" w:hAnsi="Calibri" w:cs="Calibri"/>
          <w:sz w:val="22"/>
          <w:szCs w:val="22"/>
        </w:rPr>
        <w:t xml:space="preserve">tewardship is a policy approach that shifts financial and physical responsibility for end-of-life management of consumer products from local governments to those who benefit economically from the sale of the products they produce and to those who use the products; and </w:t>
      </w:r>
    </w:p>
    <w:p w:rsidR="002A469A" w:rsidRPr="007F7975" w:rsidRDefault="002A469A" w:rsidP="002A469A">
      <w:pPr>
        <w:rPr>
          <w:rFonts w:ascii="Calibri" w:hAnsi="Calibri" w:cs="Calibri"/>
          <w:b/>
          <w:sz w:val="22"/>
          <w:szCs w:val="22"/>
        </w:rPr>
      </w:pPr>
    </w:p>
    <w:p w:rsidR="002A469A" w:rsidRPr="007F7975" w:rsidRDefault="002A469A" w:rsidP="002A469A">
      <w:pPr>
        <w:rPr>
          <w:rFonts w:ascii="Calibri" w:hAnsi="Calibri" w:cs="Calibri"/>
          <w:b/>
          <w:sz w:val="22"/>
          <w:szCs w:val="22"/>
        </w:rPr>
      </w:pPr>
      <w:r w:rsidRPr="007F7975">
        <w:rPr>
          <w:rFonts w:ascii="Calibri" w:hAnsi="Calibri" w:cs="Calibri"/>
          <w:b/>
          <w:sz w:val="22"/>
          <w:szCs w:val="22"/>
        </w:rPr>
        <w:t xml:space="preserve">WHEREAS </w:t>
      </w:r>
      <w:r w:rsidRPr="007F7975">
        <w:rPr>
          <w:rFonts w:ascii="Calibri" w:hAnsi="Calibri" w:cs="Calibri"/>
          <w:sz w:val="22"/>
          <w:szCs w:val="22"/>
        </w:rPr>
        <w:t>when producers are responsible for ensuring their products are reused or recycled or disposed of responsibly, also known as Extended Producer Responsibility (EPR), and when health and environmental costs are included in the product price, there is an incentive to design products that are more durable, easier to repair and recycle, and less toxic; and</w:t>
      </w:r>
    </w:p>
    <w:p w:rsidR="002A469A" w:rsidRPr="007F7975" w:rsidRDefault="002A469A" w:rsidP="002A469A">
      <w:pPr>
        <w:rPr>
          <w:rFonts w:ascii="Calibri" w:hAnsi="Calibri" w:cs="Calibri"/>
          <w:b/>
          <w:sz w:val="22"/>
          <w:szCs w:val="22"/>
        </w:rPr>
      </w:pPr>
    </w:p>
    <w:p w:rsidR="002A469A" w:rsidRPr="007F7975" w:rsidRDefault="002A469A" w:rsidP="002A469A">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industry organizations such as the voluntary </w:t>
      </w:r>
      <w:r w:rsidR="002D74BC" w:rsidRPr="007F7975">
        <w:rPr>
          <w:rFonts w:ascii="Calibri" w:hAnsi="Calibri" w:cs="Calibri"/>
          <w:sz w:val="22"/>
          <w:szCs w:val="22"/>
        </w:rPr>
        <w:t xml:space="preserve">rechargeable battery recycling program, </w:t>
      </w:r>
      <w:r w:rsidRPr="007F7975">
        <w:rPr>
          <w:rFonts w:ascii="Calibri" w:hAnsi="Calibri" w:cs="Calibri"/>
          <w:sz w:val="22"/>
          <w:szCs w:val="22"/>
        </w:rPr>
        <w:t>Call2Reycle</w:t>
      </w:r>
      <w:r w:rsidR="002D74BC" w:rsidRPr="007F7975">
        <w:rPr>
          <w:rFonts w:ascii="Calibri" w:hAnsi="Calibri" w:cs="Calibri"/>
          <w:sz w:val="22"/>
          <w:szCs w:val="22"/>
        </w:rPr>
        <w:t>,</w:t>
      </w:r>
      <w:r w:rsidRPr="007F7975">
        <w:rPr>
          <w:rFonts w:ascii="Calibri" w:hAnsi="Calibri" w:cs="Calibri"/>
          <w:sz w:val="22"/>
          <w:szCs w:val="22"/>
        </w:rPr>
        <w:t xml:space="preserve"> ha</w:t>
      </w:r>
      <w:r w:rsidR="004167F5" w:rsidRPr="007F7975">
        <w:rPr>
          <w:rFonts w:ascii="Calibri" w:hAnsi="Calibri" w:cs="Calibri"/>
          <w:sz w:val="22"/>
          <w:szCs w:val="22"/>
        </w:rPr>
        <w:t>ve</w:t>
      </w:r>
      <w:r w:rsidRPr="007F7975">
        <w:rPr>
          <w:rFonts w:ascii="Calibri" w:hAnsi="Calibri" w:cs="Calibri"/>
          <w:sz w:val="22"/>
          <w:szCs w:val="22"/>
        </w:rPr>
        <w:t xml:space="preserve"> partnered with 54 local jurisdictions (city and county governments) and hundreds of retailers to established nearly 500 active rechargeable battery collection sites around the state that are accessible to the public at no cost</w:t>
      </w:r>
      <w:r w:rsidR="005D083A" w:rsidRPr="007F7975">
        <w:rPr>
          <w:rFonts w:ascii="Calibri" w:hAnsi="Calibri" w:cs="Calibri"/>
          <w:sz w:val="22"/>
          <w:szCs w:val="22"/>
        </w:rPr>
        <w:t>; and</w:t>
      </w:r>
      <w:r w:rsidRPr="007F7975">
        <w:rPr>
          <w:rFonts w:ascii="Calibri" w:hAnsi="Calibri" w:cs="Calibri"/>
          <w:sz w:val="22"/>
          <w:szCs w:val="22"/>
        </w:rPr>
        <w:t xml:space="preserve"> </w:t>
      </w:r>
    </w:p>
    <w:p w:rsidR="002A469A" w:rsidRPr="007F7975" w:rsidRDefault="002A469A" w:rsidP="002A469A">
      <w:pPr>
        <w:rPr>
          <w:rFonts w:ascii="Calibri" w:hAnsi="Calibri" w:cs="Calibri"/>
          <w:sz w:val="22"/>
          <w:szCs w:val="22"/>
        </w:rPr>
      </w:pPr>
    </w:p>
    <w:p w:rsidR="002A469A" w:rsidRPr="007F7975" w:rsidRDefault="002A469A" w:rsidP="002A469A">
      <w:pPr>
        <w:rPr>
          <w:rFonts w:ascii="Calibri" w:hAnsi="Calibri" w:cs="Calibri"/>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in 2011, Call2Recycle paid for the recycling of more than 31,000 pounds of rechargeable batteries collected by local governments in Washington, saving $25,000 in costs to local governments</w:t>
      </w:r>
      <w:r w:rsidR="005D083A" w:rsidRPr="007F7975">
        <w:rPr>
          <w:rFonts w:ascii="Calibri" w:hAnsi="Calibri" w:cs="Calibri"/>
          <w:color w:val="000000"/>
          <w:sz w:val="22"/>
          <w:szCs w:val="22"/>
        </w:rPr>
        <w:t>;</w:t>
      </w:r>
      <w:r w:rsidRPr="007F7975">
        <w:rPr>
          <w:rStyle w:val="EndnoteReference"/>
          <w:rFonts w:ascii="Calibri" w:hAnsi="Calibri" w:cs="Calibri"/>
          <w:sz w:val="22"/>
          <w:szCs w:val="22"/>
        </w:rPr>
        <w:endnoteReference w:id="11"/>
      </w:r>
      <w:r w:rsidR="005D083A" w:rsidRPr="007F7975">
        <w:rPr>
          <w:rFonts w:ascii="Calibri" w:hAnsi="Calibri" w:cs="Calibri"/>
          <w:color w:val="000000"/>
          <w:sz w:val="22"/>
          <w:szCs w:val="22"/>
        </w:rPr>
        <w:t xml:space="preserve"> and</w:t>
      </w:r>
    </w:p>
    <w:p w:rsidR="002A469A" w:rsidRPr="007F7975" w:rsidRDefault="002A469A" w:rsidP="002A469A">
      <w:pPr>
        <w:rPr>
          <w:rFonts w:ascii="Calibri" w:hAnsi="Calibri" w:cs="Calibri"/>
          <w:color w:val="000000"/>
          <w:sz w:val="22"/>
          <w:szCs w:val="22"/>
        </w:rPr>
      </w:pPr>
    </w:p>
    <w:p w:rsidR="002A469A" w:rsidRPr="007F7975" w:rsidRDefault="002A469A" w:rsidP="002A469A">
      <w:pPr>
        <w:rPr>
          <w:rFonts w:ascii="Calibri" w:hAnsi="Calibri" w:cs="Calibri"/>
          <w:color w:val="000000"/>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w:t>
      </w:r>
      <w:r w:rsidR="005D083A" w:rsidRPr="007F7975">
        <w:rPr>
          <w:rFonts w:ascii="Calibri" w:hAnsi="Calibri" w:cs="Calibri"/>
          <w:color w:val="000000"/>
          <w:sz w:val="22"/>
          <w:szCs w:val="22"/>
        </w:rPr>
        <w:t xml:space="preserve">the stability of </w:t>
      </w:r>
      <w:r w:rsidR="00D95935" w:rsidRPr="007F7975">
        <w:rPr>
          <w:rFonts w:ascii="Calibri" w:hAnsi="Calibri" w:cs="Calibri"/>
          <w:color w:val="000000"/>
          <w:sz w:val="22"/>
          <w:szCs w:val="22"/>
        </w:rPr>
        <w:t xml:space="preserve">manufacturer-financed </w:t>
      </w:r>
      <w:r w:rsidRPr="007F7975">
        <w:rPr>
          <w:rFonts w:ascii="Calibri" w:hAnsi="Calibri" w:cs="Calibri"/>
          <w:color w:val="000000"/>
          <w:sz w:val="22"/>
          <w:szCs w:val="22"/>
        </w:rPr>
        <w:t xml:space="preserve">product stewardship programs </w:t>
      </w:r>
      <w:r w:rsidR="005D083A" w:rsidRPr="007F7975">
        <w:rPr>
          <w:rFonts w:ascii="Calibri" w:hAnsi="Calibri" w:cs="Calibri"/>
          <w:color w:val="000000"/>
          <w:sz w:val="22"/>
          <w:szCs w:val="22"/>
        </w:rPr>
        <w:t xml:space="preserve">is based on the condition that </w:t>
      </w:r>
      <w:r w:rsidR="00D95935"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005D083A" w:rsidRPr="007F7975">
        <w:rPr>
          <w:rFonts w:ascii="Calibri" w:hAnsi="Calibri" w:cs="Calibri"/>
          <w:color w:val="000000"/>
          <w:sz w:val="22"/>
          <w:szCs w:val="22"/>
        </w:rPr>
        <w:t xml:space="preserve">pay into the program; and  </w:t>
      </w:r>
    </w:p>
    <w:p w:rsidR="005D083A" w:rsidRPr="007F7975" w:rsidRDefault="005D083A" w:rsidP="002A469A">
      <w:pPr>
        <w:rPr>
          <w:rFonts w:ascii="Calibri" w:hAnsi="Calibri" w:cs="Calibri"/>
          <w:color w:val="000000"/>
          <w:sz w:val="22"/>
          <w:szCs w:val="22"/>
        </w:rPr>
      </w:pPr>
    </w:p>
    <w:p w:rsidR="005D083A" w:rsidRPr="007F7975" w:rsidRDefault="005D083A" w:rsidP="005D083A">
      <w:pPr>
        <w:rPr>
          <w:rFonts w:ascii="Calibri" w:hAnsi="Calibri" w:cs="Calibri"/>
          <w:color w:val="000000"/>
          <w:sz w:val="22"/>
          <w:szCs w:val="22"/>
        </w:rPr>
      </w:pPr>
      <w:r w:rsidRPr="007F7975">
        <w:rPr>
          <w:rFonts w:ascii="Calibri" w:hAnsi="Calibri" w:cs="Calibri"/>
          <w:b/>
          <w:sz w:val="22"/>
          <w:szCs w:val="22"/>
        </w:rPr>
        <w:t xml:space="preserve">WHEREAS </w:t>
      </w:r>
      <w:r w:rsidRPr="007F7975">
        <w:rPr>
          <w:rFonts w:ascii="Calibri" w:hAnsi="Calibri" w:cs="Calibri"/>
          <w:color w:val="000000"/>
          <w:sz w:val="22"/>
          <w:szCs w:val="22"/>
        </w:rPr>
        <w:t xml:space="preserve">legislation is needed to ensure that all </w:t>
      </w:r>
      <w:r w:rsidR="00D05E97"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Pr="007F7975">
        <w:rPr>
          <w:rFonts w:ascii="Calibri" w:hAnsi="Calibri" w:cs="Calibri"/>
          <w:color w:val="000000"/>
          <w:sz w:val="22"/>
          <w:szCs w:val="22"/>
        </w:rPr>
        <w:t>participate</w:t>
      </w:r>
      <w:r w:rsidR="002D74BC" w:rsidRPr="007F7975">
        <w:rPr>
          <w:rFonts w:ascii="Calibri" w:hAnsi="Calibri" w:cs="Calibri"/>
          <w:color w:val="000000"/>
          <w:sz w:val="22"/>
          <w:szCs w:val="22"/>
        </w:rPr>
        <w:t xml:space="preserve"> in</w:t>
      </w:r>
      <w:r w:rsidRPr="007F7975">
        <w:rPr>
          <w:rFonts w:ascii="Calibri" w:hAnsi="Calibri" w:cs="Calibri"/>
          <w:color w:val="000000"/>
          <w:sz w:val="22"/>
          <w:szCs w:val="22"/>
        </w:rPr>
        <w:t xml:space="preserve"> and </w:t>
      </w:r>
      <w:r w:rsidR="002D74BC" w:rsidRPr="007F7975">
        <w:rPr>
          <w:rFonts w:ascii="Calibri" w:hAnsi="Calibri" w:cs="Calibri"/>
          <w:color w:val="000000"/>
          <w:sz w:val="22"/>
          <w:szCs w:val="22"/>
        </w:rPr>
        <w:t>fully fund</w:t>
      </w:r>
      <w:r w:rsidRPr="007F7975">
        <w:rPr>
          <w:rFonts w:ascii="Calibri" w:hAnsi="Calibri" w:cs="Calibri"/>
          <w:color w:val="000000"/>
          <w:sz w:val="22"/>
          <w:szCs w:val="22"/>
        </w:rPr>
        <w:t xml:space="preserve"> product stewardship program</w:t>
      </w:r>
      <w:r w:rsidR="002D74BC" w:rsidRPr="007F7975">
        <w:rPr>
          <w:rFonts w:ascii="Calibri" w:hAnsi="Calibri" w:cs="Calibri"/>
          <w:color w:val="000000"/>
          <w:sz w:val="22"/>
          <w:szCs w:val="22"/>
        </w:rPr>
        <w:t>s</w:t>
      </w:r>
      <w:r w:rsidRPr="007F7975">
        <w:rPr>
          <w:rFonts w:ascii="Calibri" w:hAnsi="Calibri" w:cs="Calibri"/>
          <w:color w:val="000000"/>
          <w:sz w:val="22"/>
          <w:szCs w:val="22"/>
        </w:rPr>
        <w:t xml:space="preserve">; and </w:t>
      </w:r>
    </w:p>
    <w:p w:rsidR="005D083A" w:rsidRPr="007F7975" w:rsidRDefault="005D083A" w:rsidP="005D083A">
      <w:pPr>
        <w:rPr>
          <w:rFonts w:ascii="Calibri" w:hAnsi="Calibri" w:cs="Calibri"/>
          <w:color w:val="000000"/>
          <w:sz w:val="22"/>
          <w:szCs w:val="22"/>
        </w:rPr>
      </w:pPr>
    </w:p>
    <w:p w:rsidR="002D74BC" w:rsidRPr="007F7975" w:rsidRDefault="005D083A" w:rsidP="005D083A">
      <w:pPr>
        <w:rPr>
          <w:rFonts w:ascii="Calibri" w:hAnsi="Calibri" w:cs="Calibri"/>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w:t>
      </w:r>
      <w:r w:rsidRPr="007F7975">
        <w:rPr>
          <w:rFonts w:ascii="Calibri" w:hAnsi="Calibri" w:cs="Calibri"/>
          <w:sz w:val="22"/>
          <w:szCs w:val="22"/>
        </w:rPr>
        <w:t>rechargeable battery manufacturers support product stewardship l</w:t>
      </w:r>
      <w:r w:rsidR="00763A62" w:rsidRPr="007F7975">
        <w:rPr>
          <w:rFonts w:ascii="Calibri" w:hAnsi="Calibri" w:cs="Calibri"/>
          <w:sz w:val="22"/>
          <w:szCs w:val="22"/>
        </w:rPr>
        <w:t xml:space="preserve">egislation requiring  </w:t>
      </w:r>
      <w:r w:rsidRPr="007F7975">
        <w:rPr>
          <w:rFonts w:ascii="Calibri" w:hAnsi="Calibri" w:cs="Calibri"/>
          <w:sz w:val="22"/>
          <w:szCs w:val="22"/>
        </w:rPr>
        <w:t xml:space="preserve"> manufacturers to finance a stewardship program to </w:t>
      </w:r>
      <w:r w:rsidR="00763A62" w:rsidRPr="007F7975">
        <w:rPr>
          <w:rFonts w:ascii="Calibri" w:hAnsi="Calibri" w:cs="Calibri"/>
          <w:sz w:val="22"/>
          <w:szCs w:val="22"/>
        </w:rPr>
        <w:t xml:space="preserve">collect, </w:t>
      </w:r>
      <w:r w:rsidRPr="007F7975">
        <w:rPr>
          <w:rFonts w:ascii="Calibri" w:hAnsi="Calibri" w:cs="Calibri"/>
          <w:sz w:val="22"/>
          <w:szCs w:val="22"/>
        </w:rPr>
        <w:t xml:space="preserve">recycle </w:t>
      </w:r>
      <w:r w:rsidR="00763A62" w:rsidRPr="007F7975">
        <w:rPr>
          <w:rFonts w:ascii="Calibri" w:hAnsi="Calibri" w:cs="Calibri"/>
          <w:sz w:val="22"/>
          <w:szCs w:val="22"/>
        </w:rPr>
        <w:t xml:space="preserve">or properly dispose of </w:t>
      </w:r>
      <w:r w:rsidRPr="007F7975">
        <w:rPr>
          <w:rFonts w:ascii="Calibri" w:hAnsi="Calibri" w:cs="Calibri"/>
          <w:sz w:val="22"/>
          <w:szCs w:val="22"/>
        </w:rPr>
        <w:t>rechargeable batteries</w:t>
      </w:r>
      <w:r w:rsidR="002D74BC" w:rsidRPr="007F7975">
        <w:rPr>
          <w:rFonts w:ascii="Calibri" w:hAnsi="Calibri" w:cs="Calibri"/>
          <w:sz w:val="22"/>
          <w:szCs w:val="22"/>
        </w:rPr>
        <w:t xml:space="preserve">; </w:t>
      </w:r>
    </w:p>
    <w:p w:rsidR="005D083A" w:rsidRPr="007F7975" w:rsidRDefault="005D083A" w:rsidP="005D083A">
      <w:pPr>
        <w:rPr>
          <w:rFonts w:ascii="Calibri" w:hAnsi="Calibri" w:cs="Calibri"/>
          <w:sz w:val="22"/>
          <w:szCs w:val="22"/>
        </w:rPr>
      </w:pPr>
      <w:r w:rsidRPr="007F7975">
        <w:rPr>
          <w:rFonts w:ascii="Calibri" w:hAnsi="Calibri" w:cs="Calibri"/>
          <w:sz w:val="22"/>
          <w:szCs w:val="22"/>
        </w:rPr>
        <w:t xml:space="preserve">   </w:t>
      </w:r>
    </w:p>
    <w:p w:rsidR="005D083A" w:rsidRPr="007F7975" w:rsidRDefault="005D083A" w:rsidP="005D083A">
      <w:pPr>
        <w:rPr>
          <w:rFonts w:ascii="Calibri" w:hAnsi="Calibri" w:cs="Calibri"/>
          <w:sz w:val="22"/>
          <w:szCs w:val="22"/>
        </w:rPr>
      </w:pPr>
      <w:r w:rsidRPr="007F7975">
        <w:rPr>
          <w:rFonts w:ascii="Calibri" w:hAnsi="Calibri" w:cs="Calibri"/>
          <w:b/>
          <w:sz w:val="22"/>
          <w:szCs w:val="22"/>
        </w:rPr>
        <w:t>NOW THEREFORE BE IT RESOLVED</w:t>
      </w:r>
      <w:r w:rsidRPr="007F7975">
        <w:rPr>
          <w:rFonts w:ascii="Calibri" w:hAnsi="Calibri" w:cs="Calibri"/>
          <w:sz w:val="22"/>
          <w:szCs w:val="22"/>
        </w:rPr>
        <w:t xml:space="preserve"> that </w:t>
      </w:r>
      <w:r w:rsidRPr="007F7975">
        <w:rPr>
          <w:rFonts w:ascii="Calibri" w:hAnsi="Calibri" w:cs="Calibri"/>
          <w:b/>
          <w:sz w:val="22"/>
          <w:szCs w:val="22"/>
        </w:rPr>
        <w:t>[Jurisdiction Name]</w:t>
      </w:r>
      <w:r w:rsidRPr="007F7975">
        <w:rPr>
          <w:rFonts w:ascii="Calibri" w:hAnsi="Calibri" w:cs="Calibri"/>
          <w:sz w:val="22"/>
          <w:szCs w:val="22"/>
        </w:rPr>
        <w:t xml:space="preserve"> supports policies and legislation that  establish a convenient, safe, and environmentally sound rechargeable battery stewardship program in Washington State that is financed by the </w:t>
      </w:r>
      <w:r w:rsidR="00D05E97"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Pr="007F7975">
        <w:rPr>
          <w:rFonts w:ascii="Calibri" w:hAnsi="Calibri" w:cs="Calibri"/>
          <w:sz w:val="22"/>
          <w:szCs w:val="22"/>
        </w:rPr>
        <w:t>and covers the cost of collection, transportation, and recycling, and does not rely on state and local government funding.</w:t>
      </w:r>
    </w:p>
    <w:p w:rsidR="005D083A" w:rsidRPr="007F7975" w:rsidRDefault="005D083A" w:rsidP="005D083A">
      <w:pPr>
        <w:rPr>
          <w:rFonts w:ascii="Calibri" w:hAnsi="Calibri" w:cs="Calibri"/>
          <w:b/>
          <w:sz w:val="22"/>
          <w:szCs w:val="22"/>
        </w:rPr>
      </w:pPr>
    </w:p>
    <w:p w:rsidR="005D083A" w:rsidRPr="007F7975" w:rsidRDefault="005D083A" w:rsidP="005D083A">
      <w:pPr>
        <w:rPr>
          <w:rFonts w:ascii="Calibri" w:hAnsi="Calibri" w:cs="Calibri"/>
          <w:sz w:val="22"/>
          <w:szCs w:val="22"/>
        </w:rPr>
      </w:pPr>
      <w:r w:rsidRPr="007F7975">
        <w:rPr>
          <w:rFonts w:ascii="Calibri" w:hAnsi="Calibri" w:cs="Calibri"/>
          <w:b/>
          <w:sz w:val="22"/>
          <w:szCs w:val="22"/>
        </w:rPr>
        <w:t>BE IT FURTHER RESOLVED</w:t>
      </w:r>
      <w:r w:rsidRPr="007F7975">
        <w:rPr>
          <w:rFonts w:ascii="Calibri" w:hAnsi="Calibri" w:cs="Calibri"/>
          <w:sz w:val="22"/>
          <w:szCs w:val="22"/>
        </w:rPr>
        <w:t xml:space="preserve"> that the </w:t>
      </w:r>
      <w:r w:rsidRPr="007F7975">
        <w:rPr>
          <w:rFonts w:ascii="Calibri" w:hAnsi="Calibri" w:cs="Calibri"/>
          <w:b/>
          <w:sz w:val="22"/>
          <w:szCs w:val="22"/>
        </w:rPr>
        <w:t>[Entity]</w:t>
      </w:r>
      <w:r w:rsidRPr="007F7975">
        <w:rPr>
          <w:rFonts w:ascii="Calibri" w:hAnsi="Calibri" w:cs="Calibri"/>
          <w:sz w:val="22"/>
          <w:szCs w:val="22"/>
        </w:rPr>
        <w:t xml:space="preserve"> of </w:t>
      </w:r>
      <w:r w:rsidRPr="007F7975">
        <w:rPr>
          <w:rFonts w:ascii="Calibri" w:hAnsi="Calibri" w:cs="Calibri"/>
          <w:b/>
          <w:sz w:val="22"/>
          <w:szCs w:val="22"/>
        </w:rPr>
        <w:t>[Jurisdiction]</w:t>
      </w:r>
      <w:r w:rsidRPr="007F7975">
        <w:rPr>
          <w:rFonts w:ascii="Calibri" w:hAnsi="Calibri" w:cs="Calibri"/>
          <w:sz w:val="22"/>
          <w:szCs w:val="22"/>
        </w:rPr>
        <w:t xml:space="preserve"> be authorized to send letters to the State Legislature and State associations, and to use other advocacy methods to urge support for rechargeable battery product stewardship legislation.</w:t>
      </w:r>
    </w:p>
    <w:p w:rsidR="005D083A" w:rsidRPr="007F7975" w:rsidRDefault="005D083A" w:rsidP="005D083A">
      <w:pPr>
        <w:rPr>
          <w:rFonts w:ascii="Calibri" w:hAnsi="Calibri" w:cs="Calibri"/>
          <w:sz w:val="22"/>
          <w:szCs w:val="22"/>
        </w:rPr>
      </w:pPr>
    </w:p>
    <w:p w:rsidR="00B91193" w:rsidRPr="007F7975" w:rsidRDefault="00B91193" w:rsidP="00B91193">
      <w:pPr>
        <w:rPr>
          <w:rFonts w:ascii="Calibri" w:hAnsi="Calibri" w:cs="Calibri"/>
          <w:sz w:val="22"/>
          <w:szCs w:val="22"/>
        </w:rPr>
      </w:pPr>
      <w:r w:rsidRPr="007F7975">
        <w:rPr>
          <w:rFonts w:ascii="Calibri" w:hAnsi="Calibri" w:cs="Calibri"/>
          <w:b/>
          <w:sz w:val="22"/>
          <w:szCs w:val="22"/>
        </w:rPr>
        <w:t>PASSED AND ADOPTED</w:t>
      </w:r>
      <w:r w:rsidRPr="007F7975">
        <w:rPr>
          <w:rFonts w:ascii="Calibri" w:hAnsi="Calibri" w:cs="Calibri"/>
          <w:sz w:val="22"/>
          <w:szCs w:val="22"/>
        </w:rPr>
        <w:t xml:space="preserve"> by the [Entity] of [Jurisdiction], State of _______ on _____________________________ by the following vote:</w:t>
      </w:r>
      <w:r w:rsidRPr="007F7975">
        <w:rPr>
          <w:rFonts w:ascii="Calibri" w:hAnsi="Calibri" w:cs="Calibri"/>
          <w:sz w:val="22"/>
          <w:szCs w:val="22"/>
        </w:rPr>
        <w:br/>
      </w:r>
    </w:p>
    <w:p w:rsidR="00B91193" w:rsidRDefault="00B91193" w:rsidP="005D083A"/>
    <w:sectPr w:rsidR="00B91193" w:rsidSect="00610A1D">
      <w:headerReference w:type="default" r:id="rId9"/>
      <w:footerReference w:type="default" r:id="rId10"/>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6E" w:rsidRDefault="007F396E" w:rsidP="00547333">
      <w:r>
        <w:separator/>
      </w:r>
    </w:p>
  </w:endnote>
  <w:endnote w:type="continuationSeparator" w:id="0">
    <w:p w:rsidR="007F396E" w:rsidRDefault="007F396E" w:rsidP="00547333">
      <w:r>
        <w:continuationSeparator/>
      </w:r>
    </w:p>
  </w:endnote>
  <w:endnote w:id="1">
    <w:p w:rsidR="00C430C4" w:rsidRPr="00B91193" w:rsidRDefault="00C430C4" w:rsidP="00470AEE">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r>
      <w:proofErr w:type="gramStart"/>
      <w:r w:rsidR="003F7F51">
        <w:rPr>
          <w:rFonts w:ascii="Calibri" w:hAnsi="Calibri"/>
          <w:sz w:val="20"/>
          <w:szCs w:val="20"/>
        </w:rPr>
        <w:t xml:space="preserve">MIT Material Systems Lab, </w:t>
      </w:r>
      <w:r w:rsidRPr="003F7F51">
        <w:rPr>
          <w:rFonts w:ascii="Calibri" w:hAnsi="Calibri"/>
          <w:i/>
          <w:sz w:val="20"/>
          <w:szCs w:val="20"/>
        </w:rPr>
        <w:t>Life Cycle Impacts of Alkaline Batteri</w:t>
      </w:r>
      <w:r w:rsidR="003F7F51" w:rsidRPr="003F7F51">
        <w:rPr>
          <w:rFonts w:ascii="Calibri" w:hAnsi="Calibri"/>
          <w:i/>
          <w:sz w:val="20"/>
          <w:szCs w:val="20"/>
        </w:rPr>
        <w:t>es with a Focus on End‐of‐Life</w:t>
      </w:r>
      <w:r w:rsidR="003F7F51">
        <w:rPr>
          <w:rFonts w:ascii="Calibri" w:hAnsi="Calibri"/>
          <w:sz w:val="20"/>
          <w:szCs w:val="20"/>
        </w:rPr>
        <w:t>.</w:t>
      </w:r>
      <w:proofErr w:type="gramEnd"/>
      <w:r w:rsidRPr="00B91193">
        <w:rPr>
          <w:rFonts w:ascii="Calibri" w:hAnsi="Calibri"/>
          <w:sz w:val="20"/>
          <w:szCs w:val="20"/>
        </w:rPr>
        <w:t xml:space="preserve"> </w:t>
      </w:r>
      <w:proofErr w:type="gramStart"/>
      <w:r w:rsidRPr="00B91193">
        <w:rPr>
          <w:rFonts w:ascii="Calibri" w:hAnsi="Calibri"/>
          <w:sz w:val="20"/>
          <w:szCs w:val="20"/>
        </w:rPr>
        <w:t>Prepared for the National Electrical Manufacturers Association, February 2011.</w:t>
      </w:r>
      <w:proofErr w:type="gramEnd"/>
      <w:r w:rsidRPr="00B91193">
        <w:rPr>
          <w:rFonts w:ascii="Calibri" w:hAnsi="Calibri"/>
          <w:sz w:val="20"/>
          <w:szCs w:val="20"/>
        </w:rPr>
        <w:t xml:space="preserve">  http://calpsc.org/assets/products/2011/batteries_MIT%20Battery%20LCA%20by%20NEMA%20Final.pdf</w:t>
      </w:r>
      <w:r w:rsidR="00EE4126">
        <w:rPr>
          <w:rFonts w:ascii="Calibri" w:hAnsi="Calibri"/>
          <w:sz w:val="20"/>
          <w:szCs w:val="20"/>
        </w:rPr>
        <w:t>.</w:t>
      </w:r>
    </w:p>
  </w:endnote>
  <w:endnote w:id="2">
    <w:p w:rsidR="00C430C4" w:rsidRPr="00B91193" w:rsidRDefault="00C430C4" w:rsidP="00FD704D">
      <w:pPr>
        <w:pStyle w:val="EndnoteText"/>
        <w:tabs>
          <w:tab w:val="left" w:pos="180"/>
        </w:tabs>
        <w:ind w:left="180" w:hanging="180"/>
        <w:rPr>
          <w:rFonts w:ascii="Calibri" w:hAnsi="Calibri"/>
          <w:bCs/>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US Geological Survey, “</w:t>
      </w:r>
      <w:r w:rsidRPr="00B91193">
        <w:rPr>
          <w:rFonts w:ascii="Calibri" w:hAnsi="Calibri"/>
          <w:bCs/>
          <w:sz w:val="20"/>
          <w:szCs w:val="20"/>
        </w:rPr>
        <w:t xml:space="preserve">Flow of cadmium from rechargeable batteries in the United States.” </w:t>
      </w:r>
      <w:r w:rsidRPr="003F7F51">
        <w:rPr>
          <w:rFonts w:ascii="Calibri" w:hAnsi="Calibri"/>
          <w:bCs/>
          <w:i/>
          <w:sz w:val="20"/>
          <w:szCs w:val="20"/>
        </w:rPr>
        <w:t>Scientific Investigations Report</w:t>
      </w:r>
      <w:r w:rsidRPr="00B91193">
        <w:rPr>
          <w:rFonts w:ascii="Calibri" w:hAnsi="Calibri"/>
          <w:bCs/>
          <w:sz w:val="20"/>
          <w:szCs w:val="20"/>
        </w:rPr>
        <w:t xml:space="preserve"> </w:t>
      </w:r>
      <w:r w:rsidRPr="003F7F51">
        <w:rPr>
          <w:rFonts w:ascii="Calibri" w:hAnsi="Calibri"/>
          <w:bCs/>
          <w:i/>
          <w:sz w:val="20"/>
          <w:szCs w:val="20"/>
        </w:rPr>
        <w:t>2007-5198</w:t>
      </w:r>
      <w:r w:rsidRPr="00B91193">
        <w:rPr>
          <w:rFonts w:ascii="Calibri" w:hAnsi="Calibri"/>
          <w:bCs/>
          <w:sz w:val="20"/>
          <w:szCs w:val="20"/>
        </w:rPr>
        <w:t xml:space="preserve">, 2007. </w:t>
      </w:r>
      <w:r w:rsidR="00EE4126" w:rsidRPr="00EE4126">
        <w:rPr>
          <w:rFonts w:ascii="Calibri" w:hAnsi="Calibri"/>
          <w:bCs/>
          <w:sz w:val="20"/>
          <w:szCs w:val="20"/>
        </w:rPr>
        <w:t>http://pubs.usgs.gov/sir/2007/5198/sir2007-5198v2-508.pdf</w:t>
      </w:r>
      <w:r w:rsidR="00EE4126">
        <w:rPr>
          <w:rFonts w:ascii="Calibri" w:hAnsi="Calibri"/>
          <w:bCs/>
          <w:sz w:val="20"/>
          <w:szCs w:val="20"/>
        </w:rPr>
        <w:t>.</w:t>
      </w:r>
    </w:p>
  </w:endnote>
  <w:endnote w:id="3">
    <w:p w:rsidR="00C430C4" w:rsidRPr="00B91193" w:rsidRDefault="00C430C4" w:rsidP="007934F6">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Information on human health impacts of cadmium, mercury, lead, and other battery components can be found at U.S. EPA Integrated R</w:t>
      </w:r>
      <w:r w:rsidR="003F7F51">
        <w:rPr>
          <w:rFonts w:ascii="Calibri" w:hAnsi="Calibri"/>
          <w:sz w:val="20"/>
          <w:szCs w:val="20"/>
        </w:rPr>
        <w:t>isk Information System (IRIS) at</w:t>
      </w:r>
      <w:r w:rsidRPr="00B91193">
        <w:rPr>
          <w:rFonts w:ascii="Calibri" w:hAnsi="Calibri"/>
          <w:sz w:val="20"/>
          <w:szCs w:val="20"/>
        </w:rPr>
        <w:t xml:space="preserve"> http://www.epa.gov/IRIS/</w:t>
      </w:r>
      <w:r w:rsidR="003F7F51">
        <w:rPr>
          <w:rFonts w:ascii="Calibri" w:hAnsi="Calibri"/>
          <w:sz w:val="20"/>
          <w:szCs w:val="20"/>
        </w:rPr>
        <w:t>.</w:t>
      </w:r>
    </w:p>
  </w:endnote>
  <w:endnote w:id="4">
    <w:p w:rsidR="00C430C4" w:rsidRPr="00B91193" w:rsidRDefault="00C430C4" w:rsidP="007A245F">
      <w:pPr>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According to the Department of Ecology’s 2009 Washington State Waste Characterization Study, 2,068,000 pounds were discarded in Washington State landfills in 2009. The estimated market share of rechargeable batteries is 20 percent (from the MIT study cited above), so the quantity of discarded rechargeable batteries is estimated to be 413,600 pounds.</w:t>
      </w:r>
    </w:p>
  </w:endnote>
  <w:endnote w:id="5">
    <w:p w:rsidR="00C430C4" w:rsidRPr="00B91193" w:rsidRDefault="00C430C4" w:rsidP="006B5037">
      <w:pPr>
        <w:pStyle w:val="Default"/>
        <w:tabs>
          <w:tab w:val="left" w:pos="180"/>
        </w:tabs>
        <w:ind w:left="180" w:hanging="180"/>
        <w:rPr>
          <w:rFonts w:ascii="Calibri" w:hAnsi="Calibri" w:cs="Times New Roman"/>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European Commission, </w:t>
      </w:r>
      <w:r w:rsidRPr="003F7F51">
        <w:rPr>
          <w:rFonts w:ascii="Calibri" w:hAnsi="Calibri"/>
          <w:i/>
          <w:sz w:val="20"/>
          <w:szCs w:val="20"/>
        </w:rPr>
        <w:t xml:space="preserve">Questions and Answers on the Battery Directive: </w:t>
      </w:r>
      <w:r w:rsidR="003F7F51" w:rsidRPr="003F7F51">
        <w:rPr>
          <w:rFonts w:ascii="Calibri" w:hAnsi="Calibri" w:cs="Times New Roman"/>
          <w:bCs/>
          <w:i/>
          <w:sz w:val="20"/>
          <w:szCs w:val="20"/>
        </w:rPr>
        <w:t>2006/66/EC</w:t>
      </w:r>
      <w:r w:rsidR="003F7F51">
        <w:rPr>
          <w:rFonts w:ascii="Calibri" w:hAnsi="Calibri" w:cs="Times New Roman"/>
          <w:bCs/>
          <w:sz w:val="20"/>
          <w:szCs w:val="20"/>
        </w:rPr>
        <w:t xml:space="preserve">, </w:t>
      </w:r>
      <w:r w:rsidRPr="00B91193">
        <w:rPr>
          <w:rFonts w:ascii="Calibri" w:hAnsi="Calibri" w:cs="Times New Roman"/>
          <w:bCs/>
          <w:sz w:val="20"/>
          <w:szCs w:val="20"/>
        </w:rPr>
        <w:t>April 2008.</w:t>
      </w:r>
    </w:p>
  </w:endnote>
  <w:endnote w:id="6">
    <w:p w:rsidR="00C430C4" w:rsidRPr="00B91193" w:rsidRDefault="00C430C4" w:rsidP="008543C8">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This estimate reflects the rechargeable batteries that Call2Recycle collects divided by an estimate of sales into North America by Call2Recycle’s licensees. They include batteries used by consumers that are also used in business situations (e.g., cell phones, two-way radios, laptops, etc.).</w:t>
      </w:r>
    </w:p>
  </w:endnote>
  <w:endnote w:id="7">
    <w:p w:rsidR="00C430C4" w:rsidRPr="00B91193" w:rsidRDefault="00C430C4" w:rsidP="00774ED1">
      <w:pPr>
        <w:pStyle w:val="EndnoteText"/>
        <w:tabs>
          <w:tab w:val="left" w:pos="180"/>
        </w:tabs>
        <w:ind w:left="180" w:hanging="180"/>
        <w:rPr>
          <w:rFonts w:ascii="Calibri" w:hAnsi="Calibri"/>
          <w:bCs/>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ERM, </w:t>
      </w:r>
      <w:r w:rsidRPr="003F7F51">
        <w:rPr>
          <w:rFonts w:ascii="Calibri" w:hAnsi="Calibri"/>
          <w:bCs/>
          <w:i/>
          <w:sz w:val="20"/>
          <w:szCs w:val="20"/>
        </w:rPr>
        <w:t>Battery Waste Ma</w:t>
      </w:r>
      <w:r w:rsidR="003F7F51" w:rsidRPr="003F7F51">
        <w:rPr>
          <w:rFonts w:ascii="Calibri" w:hAnsi="Calibri"/>
          <w:bCs/>
          <w:i/>
          <w:sz w:val="20"/>
          <w:szCs w:val="20"/>
        </w:rPr>
        <w:t>nagement Life Cycle Assessment</w:t>
      </w:r>
      <w:r w:rsidR="003F7F51">
        <w:rPr>
          <w:rFonts w:ascii="Calibri" w:hAnsi="Calibri"/>
          <w:bCs/>
          <w:sz w:val="20"/>
          <w:szCs w:val="20"/>
        </w:rPr>
        <w:t>,</w:t>
      </w:r>
      <w:r w:rsidRPr="00B91193">
        <w:rPr>
          <w:rFonts w:ascii="Calibri" w:hAnsi="Calibri"/>
          <w:bCs/>
          <w:sz w:val="20"/>
          <w:szCs w:val="20"/>
        </w:rPr>
        <w:t xml:space="preserve"> October 2006.</w:t>
      </w:r>
    </w:p>
  </w:endnote>
  <w:endnote w:id="8">
    <w:p w:rsidR="00C430C4" w:rsidRPr="00B91193" w:rsidRDefault="00C430C4" w:rsidP="006B5037">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Battery Summit, “Briefing Paper </w:t>
      </w:r>
      <w:proofErr w:type="spellStart"/>
      <w:r w:rsidR="003F7F51">
        <w:rPr>
          <w:rFonts w:ascii="Calibri" w:hAnsi="Calibri"/>
          <w:sz w:val="20"/>
          <w:szCs w:val="20"/>
        </w:rPr>
        <w:t>Factbase</w:t>
      </w:r>
      <w:proofErr w:type="spellEnd"/>
      <w:r w:rsidR="003F7F51">
        <w:rPr>
          <w:rFonts w:ascii="Calibri" w:hAnsi="Calibri"/>
          <w:sz w:val="20"/>
          <w:szCs w:val="20"/>
        </w:rPr>
        <w:t>,</w:t>
      </w:r>
      <w:r w:rsidRPr="00B91193">
        <w:rPr>
          <w:rFonts w:ascii="Calibri" w:hAnsi="Calibri"/>
          <w:sz w:val="20"/>
          <w:szCs w:val="20"/>
        </w:rPr>
        <w:t xml:space="preserve">” </w:t>
      </w:r>
      <w:r w:rsidR="003F7F51" w:rsidRPr="003F7F51">
        <w:rPr>
          <w:rFonts w:ascii="Calibri" w:hAnsi="Calibri"/>
          <w:i/>
          <w:sz w:val="20"/>
          <w:szCs w:val="20"/>
        </w:rPr>
        <w:t xml:space="preserve">2011 </w:t>
      </w:r>
      <w:r w:rsidRPr="003F7F51">
        <w:rPr>
          <w:rFonts w:ascii="Calibri" w:hAnsi="Calibri"/>
          <w:i/>
          <w:sz w:val="20"/>
          <w:szCs w:val="20"/>
        </w:rPr>
        <w:t>Battery Summit</w:t>
      </w:r>
      <w:r w:rsidRPr="00B91193">
        <w:rPr>
          <w:rFonts w:ascii="Calibri" w:hAnsi="Calibri"/>
          <w:sz w:val="20"/>
          <w:szCs w:val="20"/>
        </w:rPr>
        <w:t xml:space="preserve"> </w:t>
      </w:r>
      <w:r w:rsidR="003F7F51">
        <w:rPr>
          <w:rFonts w:ascii="Calibri" w:hAnsi="Calibri"/>
          <w:sz w:val="20"/>
          <w:szCs w:val="20"/>
        </w:rPr>
        <w:t xml:space="preserve">(Dallas, TX: </w:t>
      </w:r>
      <w:r w:rsidRPr="00B91193">
        <w:rPr>
          <w:rFonts w:ascii="Calibri" w:hAnsi="Calibri"/>
          <w:sz w:val="20"/>
          <w:szCs w:val="20"/>
        </w:rPr>
        <w:t>April 5-6, 2011</w:t>
      </w:r>
      <w:r w:rsidR="003F7F51">
        <w:rPr>
          <w:rFonts w:ascii="Calibri" w:hAnsi="Calibri"/>
          <w:sz w:val="20"/>
          <w:szCs w:val="20"/>
        </w:rPr>
        <w:t>)</w:t>
      </w:r>
      <w:r w:rsidRPr="00B91193">
        <w:rPr>
          <w:rFonts w:ascii="Calibri" w:hAnsi="Calibri"/>
          <w:sz w:val="20"/>
          <w:szCs w:val="20"/>
        </w:rPr>
        <w:t xml:space="preserve">. </w:t>
      </w:r>
      <w:r w:rsidR="00EE4126" w:rsidRPr="00EE4126">
        <w:rPr>
          <w:rFonts w:ascii="Calibri" w:hAnsi="Calibri"/>
          <w:sz w:val="20"/>
          <w:szCs w:val="20"/>
        </w:rPr>
        <w:t>http://recyclebattery.org/wp-content/themes/twentyten/pdfs/factbase.pdf</w:t>
      </w:r>
      <w:r w:rsidR="00EE4126">
        <w:rPr>
          <w:rFonts w:ascii="Calibri" w:hAnsi="Calibri"/>
          <w:sz w:val="20"/>
          <w:szCs w:val="20"/>
        </w:rPr>
        <w:t>.</w:t>
      </w:r>
    </w:p>
  </w:endnote>
  <w:endnote w:id="9">
    <w:p w:rsidR="00C430C4" w:rsidRPr="00B91193" w:rsidRDefault="00C430C4" w:rsidP="003F7F51">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r>
      <w:proofErr w:type="gramStart"/>
      <w:r w:rsidRPr="00B91193">
        <w:rPr>
          <w:rFonts w:ascii="Calibri" w:hAnsi="Calibri"/>
          <w:sz w:val="20"/>
          <w:szCs w:val="20"/>
        </w:rPr>
        <w:t>Call2Recycle</w:t>
      </w:r>
      <w:r w:rsidR="003F7F51">
        <w:rPr>
          <w:rFonts w:ascii="Calibri" w:hAnsi="Calibri"/>
          <w:sz w:val="20"/>
          <w:szCs w:val="20"/>
        </w:rPr>
        <w:t>, “How the Call2Recycle Program Works,”</w:t>
      </w:r>
      <w:r w:rsidRPr="00B91193">
        <w:rPr>
          <w:rFonts w:ascii="Calibri" w:hAnsi="Calibri"/>
          <w:sz w:val="20"/>
          <w:szCs w:val="20"/>
        </w:rPr>
        <w:t xml:space="preserve"> </w:t>
      </w:r>
      <w:r w:rsidR="003F7F51" w:rsidRPr="003F7F51">
        <w:rPr>
          <w:rFonts w:ascii="Calibri" w:hAnsi="Calibri"/>
          <w:sz w:val="20"/>
          <w:szCs w:val="20"/>
        </w:rPr>
        <w:t>http://www.call2recycle.org/how-program-works/</w:t>
      </w:r>
      <w:r w:rsidR="003F7F51">
        <w:rPr>
          <w:rFonts w:ascii="Calibri" w:hAnsi="Calibri"/>
          <w:sz w:val="20"/>
          <w:szCs w:val="20"/>
        </w:rPr>
        <w:t xml:space="preserve"> (accessed September 25, 2012).</w:t>
      </w:r>
      <w:proofErr w:type="gramEnd"/>
    </w:p>
  </w:endnote>
  <w:endnote w:id="10">
    <w:p w:rsidR="00C430C4" w:rsidRPr="00B91193" w:rsidRDefault="00C430C4" w:rsidP="006B5037">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Dewulf, J et al. “Recycling rechargeable lithium ion batteries: Critical analysis of natural resource savings</w:t>
      </w:r>
      <w:r w:rsidR="003F7F51">
        <w:rPr>
          <w:rFonts w:ascii="Calibri" w:hAnsi="Calibri"/>
          <w:sz w:val="20"/>
          <w:szCs w:val="20"/>
        </w:rPr>
        <w:t>,</w:t>
      </w:r>
      <w:r w:rsidRPr="00B91193">
        <w:rPr>
          <w:rFonts w:ascii="Calibri" w:hAnsi="Calibri"/>
          <w:sz w:val="20"/>
          <w:szCs w:val="20"/>
        </w:rPr>
        <w:t xml:space="preserve">” </w:t>
      </w:r>
      <w:r w:rsidRPr="00B91193">
        <w:rPr>
          <w:rFonts w:ascii="Calibri" w:hAnsi="Calibri"/>
          <w:i/>
          <w:sz w:val="20"/>
          <w:szCs w:val="20"/>
        </w:rPr>
        <w:t>Resources, Conservation, and Recycling</w:t>
      </w:r>
      <w:r w:rsidRPr="00B91193">
        <w:rPr>
          <w:rFonts w:ascii="Calibri" w:hAnsi="Calibri"/>
          <w:sz w:val="20"/>
          <w:szCs w:val="20"/>
        </w:rPr>
        <w:t>, 54</w:t>
      </w:r>
      <w:r w:rsidR="003F7F51">
        <w:rPr>
          <w:rFonts w:ascii="Calibri" w:hAnsi="Calibri"/>
          <w:sz w:val="20"/>
          <w:szCs w:val="20"/>
        </w:rPr>
        <w:t xml:space="preserve"> (2010): 229–234</w:t>
      </w:r>
      <w:r w:rsidRPr="00B91193">
        <w:rPr>
          <w:rFonts w:ascii="Calibri" w:hAnsi="Calibri"/>
          <w:sz w:val="20"/>
          <w:szCs w:val="20"/>
        </w:rPr>
        <w:t>.</w:t>
      </w:r>
    </w:p>
  </w:endnote>
  <w:endnote w:id="11">
    <w:p w:rsidR="00C430C4" w:rsidRPr="00F95A33" w:rsidRDefault="00C430C4" w:rsidP="002A469A">
      <w:pPr>
        <w:pStyle w:val="EndnoteText"/>
        <w:tabs>
          <w:tab w:val="left" w:pos="180"/>
        </w:tabs>
        <w:ind w:left="180" w:hanging="180"/>
        <w:rPr>
          <w:sz w:val="18"/>
          <w:szCs w:val="18"/>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Based on Call2Recycle collection data, local governments collected 31,136 pounds of rechargeable batteries in FY2012, and retail stores collected 61,090 pounds. According to the Washington Department of Ecology, rechargeable battery recycling costs local governments in Washington approximately $0.80 per pound.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C4" w:rsidRPr="00B45283" w:rsidRDefault="00C430C4" w:rsidP="00B45283">
    <w:pPr>
      <w:pStyle w:val="Footer"/>
      <w:rPr>
        <w:sz w:val="18"/>
      </w:rPr>
    </w:pPr>
    <w:r>
      <w:rPr>
        <w:sz w:val="18"/>
      </w:rPr>
      <w:tab/>
    </w:r>
    <w:r>
      <w:rPr>
        <w:sz w:val="18"/>
      </w:rPr>
      <w:tab/>
    </w:r>
    <w:r w:rsidRPr="00B45283">
      <w:rPr>
        <w:sz w:val="18"/>
      </w:rPr>
      <w:t>Developed by the Northwest Product Stewardship Council.  September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6E" w:rsidRDefault="007F396E" w:rsidP="00547333">
      <w:r>
        <w:separator/>
      </w:r>
    </w:p>
  </w:footnote>
  <w:footnote w:type="continuationSeparator" w:id="0">
    <w:p w:rsidR="007F396E" w:rsidRDefault="007F396E" w:rsidP="0054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C4" w:rsidRPr="00B91193" w:rsidRDefault="00C430C4" w:rsidP="009476FF">
    <w:pPr>
      <w:pStyle w:val="Header"/>
      <w:jc w:val="center"/>
      <w:rPr>
        <w:rFonts w:asciiTheme="majorHAnsi" w:hAnsiTheme="majorHAnsi" w:cstheme="majorHAnsi"/>
        <w:b/>
      </w:rPr>
    </w:pPr>
    <w:r>
      <w:rPr>
        <w:rFonts w:asciiTheme="majorHAnsi" w:hAnsiTheme="majorHAnsi" w:cstheme="majorHAnsi"/>
        <w:b/>
        <w:color w:val="FF0000"/>
      </w:rPr>
      <w:t xml:space="preserve"> </w:t>
    </w:r>
    <w:r w:rsidRPr="006E3DF6">
      <w:rPr>
        <w:rFonts w:asciiTheme="majorHAnsi" w:hAnsiTheme="majorHAnsi" w:cstheme="majorHAnsi"/>
        <w:b/>
        <w:color w:val="FF0000"/>
      </w:rPr>
      <w:t xml:space="preserve">SAMPLE </w:t>
    </w:r>
    <w:r w:rsidRPr="006E3DF6">
      <w:rPr>
        <w:rFonts w:asciiTheme="majorHAnsi" w:hAnsiTheme="majorHAnsi" w:cstheme="majorHAnsi"/>
        <w:b/>
      </w:rPr>
      <w:t>Rechargeable Battery Product</w:t>
    </w:r>
    <w:r w:rsidRPr="00B91193">
      <w:rPr>
        <w:rFonts w:asciiTheme="majorHAnsi" w:hAnsiTheme="majorHAnsi" w:cstheme="majorHAnsi"/>
        <w:b/>
      </w:rPr>
      <w:t xml:space="preserve"> Stewardship Support Resolution </w:t>
    </w:r>
    <w:r w:rsidRPr="00B91193">
      <w:rPr>
        <w:rFonts w:asciiTheme="majorHAnsi" w:hAnsiTheme="majorHAnsi" w:cstheme="majorHAnsi"/>
        <w:b/>
      </w:rPr>
      <w:br/>
      <w:t>for Local Governments in Washington State</w:t>
    </w:r>
  </w:p>
  <w:p w:rsidR="00C430C4" w:rsidRDefault="00C43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57F"/>
    <w:multiLevelType w:val="hybridMultilevel"/>
    <w:tmpl w:val="51C8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C2823"/>
    <w:multiLevelType w:val="hybridMultilevel"/>
    <w:tmpl w:val="216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754CC"/>
    <w:multiLevelType w:val="hybridMultilevel"/>
    <w:tmpl w:val="A15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535D9"/>
    <w:multiLevelType w:val="hybridMultilevel"/>
    <w:tmpl w:val="E40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F5B82"/>
    <w:multiLevelType w:val="hybridMultilevel"/>
    <w:tmpl w:val="DBB40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2B17A0"/>
    <w:multiLevelType w:val="hybridMultilevel"/>
    <w:tmpl w:val="110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C0731"/>
    <w:multiLevelType w:val="hybridMultilevel"/>
    <w:tmpl w:val="2E9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B0421"/>
    <w:multiLevelType w:val="hybridMultilevel"/>
    <w:tmpl w:val="99109F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6F6CF6"/>
    <w:multiLevelType w:val="hybridMultilevel"/>
    <w:tmpl w:val="D29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1"/>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33"/>
    <w:rsid w:val="000154DF"/>
    <w:rsid w:val="0006267C"/>
    <w:rsid w:val="001358AF"/>
    <w:rsid w:val="00162F88"/>
    <w:rsid w:val="001B14D1"/>
    <w:rsid w:val="001F46A5"/>
    <w:rsid w:val="00250F6F"/>
    <w:rsid w:val="00290181"/>
    <w:rsid w:val="002A469A"/>
    <w:rsid w:val="002D74BC"/>
    <w:rsid w:val="00315B40"/>
    <w:rsid w:val="00331103"/>
    <w:rsid w:val="00340C85"/>
    <w:rsid w:val="003E02F5"/>
    <w:rsid w:val="003F7F51"/>
    <w:rsid w:val="004167F5"/>
    <w:rsid w:val="00470AEE"/>
    <w:rsid w:val="00493A76"/>
    <w:rsid w:val="004D2136"/>
    <w:rsid w:val="00547333"/>
    <w:rsid w:val="00596530"/>
    <w:rsid w:val="005D083A"/>
    <w:rsid w:val="00610A1D"/>
    <w:rsid w:val="0068166F"/>
    <w:rsid w:val="006B4A57"/>
    <w:rsid w:val="006B5037"/>
    <w:rsid w:val="006E3DF6"/>
    <w:rsid w:val="00747378"/>
    <w:rsid w:val="00752460"/>
    <w:rsid w:val="007532C3"/>
    <w:rsid w:val="00755487"/>
    <w:rsid w:val="00763A62"/>
    <w:rsid w:val="00774ED1"/>
    <w:rsid w:val="007934F6"/>
    <w:rsid w:val="007A245F"/>
    <w:rsid w:val="007E0190"/>
    <w:rsid w:val="007E0A67"/>
    <w:rsid w:val="007F396E"/>
    <w:rsid w:val="007F7975"/>
    <w:rsid w:val="00814AAC"/>
    <w:rsid w:val="008543C8"/>
    <w:rsid w:val="008615F4"/>
    <w:rsid w:val="008E28E9"/>
    <w:rsid w:val="009476FF"/>
    <w:rsid w:val="00A10B67"/>
    <w:rsid w:val="00A52E56"/>
    <w:rsid w:val="00A54AF7"/>
    <w:rsid w:val="00A56B10"/>
    <w:rsid w:val="00A57FE4"/>
    <w:rsid w:val="00AA5098"/>
    <w:rsid w:val="00AA6261"/>
    <w:rsid w:val="00AA779E"/>
    <w:rsid w:val="00B13BEF"/>
    <w:rsid w:val="00B164D3"/>
    <w:rsid w:val="00B45283"/>
    <w:rsid w:val="00B550F9"/>
    <w:rsid w:val="00B91193"/>
    <w:rsid w:val="00C430C4"/>
    <w:rsid w:val="00C92002"/>
    <w:rsid w:val="00D02C48"/>
    <w:rsid w:val="00D05E97"/>
    <w:rsid w:val="00D624D6"/>
    <w:rsid w:val="00D731D0"/>
    <w:rsid w:val="00D95935"/>
    <w:rsid w:val="00DA2D6E"/>
    <w:rsid w:val="00DF6182"/>
    <w:rsid w:val="00E15A34"/>
    <w:rsid w:val="00EE4126"/>
    <w:rsid w:val="00F06456"/>
    <w:rsid w:val="00F67EF6"/>
    <w:rsid w:val="00F948BB"/>
    <w:rsid w:val="00FC1877"/>
    <w:rsid w:val="00FD704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47333"/>
    <w:rPr>
      <w:rFonts w:asciiTheme="minorHAnsi" w:eastAsiaTheme="minorHAnsi" w:hAnsiTheme="minorHAnsi"/>
    </w:rPr>
  </w:style>
  <w:style w:type="character" w:customStyle="1" w:styleId="EndnoteTextChar">
    <w:name w:val="Endnote Text Char"/>
    <w:basedOn w:val="DefaultParagraphFont"/>
    <w:link w:val="EndnoteText"/>
    <w:uiPriority w:val="99"/>
    <w:rsid w:val="00547333"/>
    <w:rPr>
      <w:rFonts w:asciiTheme="minorHAnsi" w:eastAsiaTheme="minorHAnsi" w:hAnsiTheme="minorHAnsi"/>
    </w:rPr>
  </w:style>
  <w:style w:type="character" w:styleId="EndnoteReference">
    <w:name w:val="endnote reference"/>
    <w:basedOn w:val="DefaultParagraphFont"/>
    <w:uiPriority w:val="99"/>
    <w:unhideWhenUsed/>
    <w:rsid w:val="00547333"/>
    <w:rPr>
      <w:vertAlign w:val="superscript"/>
    </w:rPr>
  </w:style>
  <w:style w:type="paragraph" w:styleId="ListParagraph">
    <w:name w:val="List Paragraph"/>
    <w:basedOn w:val="Normal"/>
    <w:uiPriority w:val="34"/>
    <w:qFormat/>
    <w:rsid w:val="00547333"/>
    <w:pPr>
      <w:spacing w:after="200" w:line="276" w:lineRule="auto"/>
      <w:ind w:left="720"/>
      <w:contextualSpacing/>
    </w:pPr>
    <w:rPr>
      <w:rFonts w:asciiTheme="minorHAnsi" w:eastAsiaTheme="minorHAnsi" w:hAnsiTheme="minorHAnsi"/>
      <w:sz w:val="22"/>
      <w:szCs w:val="22"/>
    </w:rPr>
  </w:style>
  <w:style w:type="character" w:styleId="Hyperlink">
    <w:name w:val="Hyperlink"/>
    <w:basedOn w:val="DefaultParagraphFont"/>
    <w:uiPriority w:val="99"/>
    <w:unhideWhenUsed/>
    <w:rsid w:val="00A52E56"/>
    <w:rPr>
      <w:color w:val="0000FF" w:themeColor="hyperlink"/>
      <w:u w:val="single"/>
    </w:rPr>
  </w:style>
  <w:style w:type="paragraph" w:customStyle="1" w:styleId="Default">
    <w:name w:val="Default"/>
    <w:rsid w:val="00AA5098"/>
    <w:pPr>
      <w:widowControl w:val="0"/>
      <w:autoSpaceDE w:val="0"/>
      <w:autoSpaceDN w:val="0"/>
      <w:adjustRightInd w:val="0"/>
    </w:pPr>
    <w:rPr>
      <w:rFonts w:ascii="Arial" w:hAnsi="Arial" w:cs="Arial"/>
      <w:color w:val="000000"/>
    </w:rPr>
  </w:style>
  <w:style w:type="paragraph" w:customStyle="1" w:styleId="DefaultText">
    <w:name w:val="Default Text"/>
    <w:basedOn w:val="Normal"/>
    <w:rsid w:val="00A56B10"/>
    <w:rPr>
      <w:rFonts w:ascii="Arial" w:eastAsia="Times New Roman" w:hAnsi="Arial" w:cs="Times New Roman"/>
      <w:snapToGrid w:val="0"/>
      <w:szCs w:val="20"/>
    </w:rPr>
  </w:style>
  <w:style w:type="paragraph" w:styleId="Header">
    <w:name w:val="header"/>
    <w:basedOn w:val="Normal"/>
    <w:link w:val="HeaderChar"/>
    <w:rsid w:val="00A56B10"/>
    <w:pPr>
      <w:tabs>
        <w:tab w:val="center" w:pos="4320"/>
        <w:tab w:val="right" w:pos="8640"/>
      </w:tabs>
    </w:pPr>
    <w:rPr>
      <w:rFonts w:ascii="Arial" w:eastAsia="Times New Roman" w:hAnsi="Arial" w:cs="Times New Roman"/>
      <w:szCs w:val="20"/>
    </w:rPr>
  </w:style>
  <w:style w:type="character" w:customStyle="1" w:styleId="HeaderChar">
    <w:name w:val="Header Char"/>
    <w:basedOn w:val="DefaultParagraphFont"/>
    <w:link w:val="Header"/>
    <w:rsid w:val="00A56B10"/>
    <w:rPr>
      <w:rFonts w:ascii="Arial" w:eastAsia="Times New Roman" w:hAnsi="Arial" w:cs="Times New Roman"/>
      <w:szCs w:val="20"/>
    </w:rPr>
  </w:style>
  <w:style w:type="paragraph" w:styleId="Footer">
    <w:name w:val="footer"/>
    <w:basedOn w:val="Normal"/>
    <w:link w:val="FooterChar"/>
    <w:uiPriority w:val="99"/>
    <w:unhideWhenUsed/>
    <w:rsid w:val="00A56B10"/>
    <w:pPr>
      <w:tabs>
        <w:tab w:val="center" w:pos="4680"/>
        <w:tab w:val="right" w:pos="9360"/>
      </w:tabs>
    </w:pPr>
  </w:style>
  <w:style w:type="character" w:customStyle="1" w:styleId="FooterChar">
    <w:name w:val="Footer Char"/>
    <w:basedOn w:val="DefaultParagraphFont"/>
    <w:link w:val="Footer"/>
    <w:uiPriority w:val="99"/>
    <w:rsid w:val="00A56B10"/>
  </w:style>
  <w:style w:type="character" w:styleId="CommentReference">
    <w:name w:val="annotation reference"/>
    <w:basedOn w:val="DefaultParagraphFont"/>
    <w:uiPriority w:val="99"/>
    <w:semiHidden/>
    <w:unhideWhenUsed/>
    <w:rsid w:val="005D083A"/>
    <w:rPr>
      <w:sz w:val="16"/>
      <w:szCs w:val="16"/>
    </w:rPr>
  </w:style>
  <w:style w:type="paragraph" w:styleId="CommentText">
    <w:name w:val="annotation text"/>
    <w:basedOn w:val="Normal"/>
    <w:link w:val="CommentTextChar"/>
    <w:uiPriority w:val="99"/>
    <w:semiHidden/>
    <w:unhideWhenUsed/>
    <w:rsid w:val="005D083A"/>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5D083A"/>
    <w:rPr>
      <w:rFonts w:asciiTheme="minorHAnsi" w:eastAsiaTheme="minorHAnsi" w:hAnsiTheme="minorHAnsi"/>
      <w:sz w:val="20"/>
      <w:szCs w:val="20"/>
    </w:rPr>
  </w:style>
  <w:style w:type="paragraph" w:styleId="BalloonText">
    <w:name w:val="Balloon Text"/>
    <w:basedOn w:val="Normal"/>
    <w:link w:val="BalloonTextChar"/>
    <w:uiPriority w:val="99"/>
    <w:semiHidden/>
    <w:unhideWhenUsed/>
    <w:rsid w:val="005D083A"/>
    <w:rPr>
      <w:rFonts w:ascii="Tahoma" w:hAnsi="Tahoma" w:cs="Tahoma"/>
      <w:sz w:val="16"/>
      <w:szCs w:val="16"/>
    </w:rPr>
  </w:style>
  <w:style w:type="character" w:customStyle="1" w:styleId="BalloonTextChar">
    <w:name w:val="Balloon Text Char"/>
    <w:basedOn w:val="DefaultParagraphFont"/>
    <w:link w:val="BalloonText"/>
    <w:uiPriority w:val="99"/>
    <w:semiHidden/>
    <w:rsid w:val="005D08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74BC"/>
    <w:pPr>
      <w:spacing w:after="0"/>
    </w:pPr>
    <w:rPr>
      <w:rFonts w:asciiTheme="majorHAnsi" w:eastAsiaTheme="minorEastAsia" w:hAnsiTheme="majorHAnsi"/>
      <w:b/>
      <w:bCs/>
    </w:rPr>
  </w:style>
  <w:style w:type="character" w:customStyle="1" w:styleId="CommentSubjectChar">
    <w:name w:val="Comment Subject Char"/>
    <w:basedOn w:val="CommentTextChar"/>
    <w:link w:val="CommentSubject"/>
    <w:uiPriority w:val="99"/>
    <w:semiHidden/>
    <w:rsid w:val="002D74BC"/>
    <w:rPr>
      <w:rFonts w:asciiTheme="minorHAnsi" w:eastAsia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47333"/>
    <w:rPr>
      <w:rFonts w:asciiTheme="minorHAnsi" w:eastAsiaTheme="minorHAnsi" w:hAnsiTheme="minorHAnsi"/>
    </w:rPr>
  </w:style>
  <w:style w:type="character" w:customStyle="1" w:styleId="EndnoteTextChar">
    <w:name w:val="Endnote Text Char"/>
    <w:basedOn w:val="DefaultParagraphFont"/>
    <w:link w:val="EndnoteText"/>
    <w:uiPriority w:val="99"/>
    <w:rsid w:val="00547333"/>
    <w:rPr>
      <w:rFonts w:asciiTheme="minorHAnsi" w:eastAsiaTheme="minorHAnsi" w:hAnsiTheme="minorHAnsi"/>
    </w:rPr>
  </w:style>
  <w:style w:type="character" w:styleId="EndnoteReference">
    <w:name w:val="endnote reference"/>
    <w:basedOn w:val="DefaultParagraphFont"/>
    <w:uiPriority w:val="99"/>
    <w:unhideWhenUsed/>
    <w:rsid w:val="00547333"/>
    <w:rPr>
      <w:vertAlign w:val="superscript"/>
    </w:rPr>
  </w:style>
  <w:style w:type="paragraph" w:styleId="ListParagraph">
    <w:name w:val="List Paragraph"/>
    <w:basedOn w:val="Normal"/>
    <w:uiPriority w:val="34"/>
    <w:qFormat/>
    <w:rsid w:val="00547333"/>
    <w:pPr>
      <w:spacing w:after="200" w:line="276" w:lineRule="auto"/>
      <w:ind w:left="720"/>
      <w:contextualSpacing/>
    </w:pPr>
    <w:rPr>
      <w:rFonts w:asciiTheme="minorHAnsi" w:eastAsiaTheme="minorHAnsi" w:hAnsiTheme="minorHAnsi"/>
      <w:sz w:val="22"/>
      <w:szCs w:val="22"/>
    </w:rPr>
  </w:style>
  <w:style w:type="character" w:styleId="Hyperlink">
    <w:name w:val="Hyperlink"/>
    <w:basedOn w:val="DefaultParagraphFont"/>
    <w:uiPriority w:val="99"/>
    <w:unhideWhenUsed/>
    <w:rsid w:val="00A52E56"/>
    <w:rPr>
      <w:color w:val="0000FF" w:themeColor="hyperlink"/>
      <w:u w:val="single"/>
    </w:rPr>
  </w:style>
  <w:style w:type="paragraph" w:customStyle="1" w:styleId="Default">
    <w:name w:val="Default"/>
    <w:rsid w:val="00AA5098"/>
    <w:pPr>
      <w:widowControl w:val="0"/>
      <w:autoSpaceDE w:val="0"/>
      <w:autoSpaceDN w:val="0"/>
      <w:adjustRightInd w:val="0"/>
    </w:pPr>
    <w:rPr>
      <w:rFonts w:ascii="Arial" w:hAnsi="Arial" w:cs="Arial"/>
      <w:color w:val="000000"/>
    </w:rPr>
  </w:style>
  <w:style w:type="paragraph" w:customStyle="1" w:styleId="DefaultText">
    <w:name w:val="Default Text"/>
    <w:basedOn w:val="Normal"/>
    <w:rsid w:val="00A56B10"/>
    <w:rPr>
      <w:rFonts w:ascii="Arial" w:eastAsia="Times New Roman" w:hAnsi="Arial" w:cs="Times New Roman"/>
      <w:snapToGrid w:val="0"/>
      <w:szCs w:val="20"/>
    </w:rPr>
  </w:style>
  <w:style w:type="paragraph" w:styleId="Header">
    <w:name w:val="header"/>
    <w:basedOn w:val="Normal"/>
    <w:link w:val="HeaderChar"/>
    <w:rsid w:val="00A56B10"/>
    <w:pPr>
      <w:tabs>
        <w:tab w:val="center" w:pos="4320"/>
        <w:tab w:val="right" w:pos="8640"/>
      </w:tabs>
    </w:pPr>
    <w:rPr>
      <w:rFonts w:ascii="Arial" w:eastAsia="Times New Roman" w:hAnsi="Arial" w:cs="Times New Roman"/>
      <w:szCs w:val="20"/>
    </w:rPr>
  </w:style>
  <w:style w:type="character" w:customStyle="1" w:styleId="HeaderChar">
    <w:name w:val="Header Char"/>
    <w:basedOn w:val="DefaultParagraphFont"/>
    <w:link w:val="Header"/>
    <w:rsid w:val="00A56B10"/>
    <w:rPr>
      <w:rFonts w:ascii="Arial" w:eastAsia="Times New Roman" w:hAnsi="Arial" w:cs="Times New Roman"/>
      <w:szCs w:val="20"/>
    </w:rPr>
  </w:style>
  <w:style w:type="paragraph" w:styleId="Footer">
    <w:name w:val="footer"/>
    <w:basedOn w:val="Normal"/>
    <w:link w:val="FooterChar"/>
    <w:uiPriority w:val="99"/>
    <w:unhideWhenUsed/>
    <w:rsid w:val="00A56B10"/>
    <w:pPr>
      <w:tabs>
        <w:tab w:val="center" w:pos="4680"/>
        <w:tab w:val="right" w:pos="9360"/>
      </w:tabs>
    </w:pPr>
  </w:style>
  <w:style w:type="character" w:customStyle="1" w:styleId="FooterChar">
    <w:name w:val="Footer Char"/>
    <w:basedOn w:val="DefaultParagraphFont"/>
    <w:link w:val="Footer"/>
    <w:uiPriority w:val="99"/>
    <w:rsid w:val="00A56B10"/>
  </w:style>
  <w:style w:type="character" w:styleId="CommentReference">
    <w:name w:val="annotation reference"/>
    <w:basedOn w:val="DefaultParagraphFont"/>
    <w:uiPriority w:val="99"/>
    <w:semiHidden/>
    <w:unhideWhenUsed/>
    <w:rsid w:val="005D083A"/>
    <w:rPr>
      <w:sz w:val="16"/>
      <w:szCs w:val="16"/>
    </w:rPr>
  </w:style>
  <w:style w:type="paragraph" w:styleId="CommentText">
    <w:name w:val="annotation text"/>
    <w:basedOn w:val="Normal"/>
    <w:link w:val="CommentTextChar"/>
    <w:uiPriority w:val="99"/>
    <w:semiHidden/>
    <w:unhideWhenUsed/>
    <w:rsid w:val="005D083A"/>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5D083A"/>
    <w:rPr>
      <w:rFonts w:asciiTheme="minorHAnsi" w:eastAsiaTheme="minorHAnsi" w:hAnsiTheme="minorHAnsi"/>
      <w:sz w:val="20"/>
      <w:szCs w:val="20"/>
    </w:rPr>
  </w:style>
  <w:style w:type="paragraph" w:styleId="BalloonText">
    <w:name w:val="Balloon Text"/>
    <w:basedOn w:val="Normal"/>
    <w:link w:val="BalloonTextChar"/>
    <w:uiPriority w:val="99"/>
    <w:semiHidden/>
    <w:unhideWhenUsed/>
    <w:rsid w:val="005D083A"/>
    <w:rPr>
      <w:rFonts w:ascii="Tahoma" w:hAnsi="Tahoma" w:cs="Tahoma"/>
      <w:sz w:val="16"/>
      <w:szCs w:val="16"/>
    </w:rPr>
  </w:style>
  <w:style w:type="character" w:customStyle="1" w:styleId="BalloonTextChar">
    <w:name w:val="Balloon Text Char"/>
    <w:basedOn w:val="DefaultParagraphFont"/>
    <w:link w:val="BalloonText"/>
    <w:uiPriority w:val="99"/>
    <w:semiHidden/>
    <w:rsid w:val="005D08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74BC"/>
    <w:pPr>
      <w:spacing w:after="0"/>
    </w:pPr>
    <w:rPr>
      <w:rFonts w:asciiTheme="majorHAnsi" w:eastAsiaTheme="minorEastAsia" w:hAnsiTheme="majorHAnsi"/>
      <w:b/>
      <w:bCs/>
    </w:rPr>
  </w:style>
  <w:style w:type="character" w:customStyle="1" w:styleId="CommentSubjectChar">
    <w:name w:val="Comment Subject Char"/>
    <w:basedOn w:val="CommentTextChar"/>
    <w:link w:val="CommentSubject"/>
    <w:uiPriority w:val="99"/>
    <w:semiHidden/>
    <w:rsid w:val="002D74BC"/>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4908">
      <w:bodyDiv w:val="1"/>
      <w:marLeft w:val="0"/>
      <w:marRight w:val="0"/>
      <w:marTop w:val="0"/>
      <w:marBottom w:val="0"/>
      <w:divBdr>
        <w:top w:val="none" w:sz="0" w:space="0" w:color="auto"/>
        <w:left w:val="none" w:sz="0" w:space="0" w:color="auto"/>
        <w:bottom w:val="none" w:sz="0" w:space="0" w:color="auto"/>
        <w:right w:val="none" w:sz="0" w:space="0" w:color="auto"/>
      </w:divBdr>
    </w:div>
    <w:div w:id="576476270">
      <w:bodyDiv w:val="1"/>
      <w:marLeft w:val="0"/>
      <w:marRight w:val="0"/>
      <w:marTop w:val="0"/>
      <w:marBottom w:val="0"/>
      <w:divBdr>
        <w:top w:val="none" w:sz="0" w:space="0" w:color="auto"/>
        <w:left w:val="none" w:sz="0" w:space="0" w:color="auto"/>
        <w:bottom w:val="none" w:sz="0" w:space="0" w:color="auto"/>
        <w:right w:val="none" w:sz="0" w:space="0" w:color="auto"/>
      </w:divBdr>
    </w:div>
    <w:div w:id="807237754">
      <w:bodyDiv w:val="1"/>
      <w:marLeft w:val="0"/>
      <w:marRight w:val="0"/>
      <w:marTop w:val="0"/>
      <w:marBottom w:val="0"/>
      <w:divBdr>
        <w:top w:val="none" w:sz="0" w:space="0" w:color="auto"/>
        <w:left w:val="none" w:sz="0" w:space="0" w:color="auto"/>
        <w:bottom w:val="none" w:sz="0" w:space="0" w:color="auto"/>
        <w:right w:val="none" w:sz="0" w:space="0" w:color="auto"/>
      </w:divBdr>
    </w:div>
    <w:div w:id="1000547345">
      <w:bodyDiv w:val="1"/>
      <w:marLeft w:val="0"/>
      <w:marRight w:val="0"/>
      <w:marTop w:val="0"/>
      <w:marBottom w:val="0"/>
      <w:divBdr>
        <w:top w:val="none" w:sz="0" w:space="0" w:color="auto"/>
        <w:left w:val="none" w:sz="0" w:space="0" w:color="auto"/>
        <w:bottom w:val="none" w:sz="0" w:space="0" w:color="auto"/>
        <w:right w:val="none" w:sz="0" w:space="0" w:color="auto"/>
      </w:divBdr>
    </w:div>
    <w:div w:id="1025791552">
      <w:bodyDiv w:val="1"/>
      <w:marLeft w:val="0"/>
      <w:marRight w:val="0"/>
      <w:marTop w:val="0"/>
      <w:marBottom w:val="0"/>
      <w:divBdr>
        <w:top w:val="none" w:sz="0" w:space="0" w:color="auto"/>
        <w:left w:val="none" w:sz="0" w:space="0" w:color="auto"/>
        <w:bottom w:val="none" w:sz="0" w:space="0" w:color="auto"/>
        <w:right w:val="none" w:sz="0" w:space="0" w:color="auto"/>
      </w:divBdr>
    </w:div>
    <w:div w:id="1403484156">
      <w:bodyDiv w:val="1"/>
      <w:marLeft w:val="0"/>
      <w:marRight w:val="0"/>
      <w:marTop w:val="0"/>
      <w:marBottom w:val="0"/>
      <w:divBdr>
        <w:top w:val="none" w:sz="0" w:space="0" w:color="auto"/>
        <w:left w:val="none" w:sz="0" w:space="0" w:color="auto"/>
        <w:bottom w:val="none" w:sz="0" w:space="0" w:color="auto"/>
        <w:right w:val="none" w:sz="0" w:space="0" w:color="auto"/>
      </w:divBdr>
    </w:div>
    <w:div w:id="1610353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527B-66C3-492D-814B-2D9E1278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Cascadia Consulting Group, Inc.</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Morrigan</dc:creator>
  <cp:lastModifiedBy>Sepanski,  Lisa</cp:lastModifiedBy>
  <cp:revision>2</cp:revision>
  <dcterms:created xsi:type="dcterms:W3CDTF">2012-09-27T22:22:00Z</dcterms:created>
  <dcterms:modified xsi:type="dcterms:W3CDTF">2012-09-27T22:22:00Z</dcterms:modified>
</cp:coreProperties>
</file>